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D4A10" w:rsidR="002D4A10" w:rsidP="37D35C3F" w:rsidRDefault="002D4A10" w14:paraId="120685A0" w14:textId="491C9AB3">
      <w:pPr>
        <w:spacing w:after="0" w:line="240" w:lineRule="auto"/>
        <w:rPr>
          <w:rFonts w:ascii="Times New Roman" w:hAnsi="Times New Roman" w:eastAsia="Times New Roman" w:cs="Times New Roman"/>
          <w:b w:val="1"/>
          <w:bCs w:val="1"/>
          <w:color w:val="auto"/>
          <w:sz w:val="32"/>
          <w:szCs w:val="32"/>
          <w:lang w:val="en-GB" w:eastAsia="en-GB"/>
        </w:rPr>
      </w:pPr>
    </w:p>
    <w:p w:rsidRPr="002D4A10" w:rsidR="002D4A10" w:rsidP="37D35C3F" w:rsidRDefault="002D4A10" w14:paraId="1F40F96F" w14:textId="77777777">
      <w:pPr>
        <w:spacing w:after="0" w:line="240" w:lineRule="auto"/>
        <w:rPr>
          <w:rFonts w:ascii="Times New Roman" w:hAnsi="Times New Roman" w:eastAsia="Times New Roman" w:cs="Times New Roman"/>
          <w:b w:val="1"/>
          <w:bCs w:val="1"/>
          <w:color w:val="auto"/>
          <w:sz w:val="28"/>
          <w:szCs w:val="28"/>
          <w:lang w:val="en-GB" w:eastAsia="en-GB"/>
        </w:rPr>
      </w:pPr>
    </w:p>
    <w:p w:rsidRPr="002D4A10" w:rsidR="002D4A10" w:rsidP="37D35C3F" w:rsidRDefault="002D4A10" w14:paraId="1AADD48B" w14:textId="6A717120">
      <w:pPr>
        <w:spacing w:after="0" w:line="240" w:lineRule="auto"/>
        <w:jc w:val="center"/>
        <w:rPr>
          <w:rFonts w:ascii="Times New Roman" w:hAnsi="Times New Roman" w:eastAsia="Times New Roman" w:cs="Arial"/>
          <w:b w:val="1"/>
          <w:bCs w:val="1"/>
          <w:color w:val="auto"/>
          <w:sz w:val="48"/>
          <w:szCs w:val="48"/>
          <w:lang w:val="en-GB" w:eastAsia="en-GB"/>
        </w:rPr>
      </w:pPr>
    </w:p>
    <w:p w:rsidRPr="002D4A10" w:rsidR="002D4A10" w:rsidP="37D35C3F" w:rsidRDefault="002D4A10" w14:paraId="19BF9B56" w14:textId="0BC4CD38">
      <w:pPr>
        <w:spacing w:after="0" w:line="240" w:lineRule="auto"/>
        <w:jc w:val="center"/>
        <w:rPr>
          <w:rFonts w:ascii="Times New Roman" w:hAnsi="Times New Roman" w:eastAsia="Times New Roman" w:cs="Arial"/>
          <w:b w:val="1"/>
          <w:bCs w:val="1"/>
          <w:color w:val="auto"/>
          <w:sz w:val="48"/>
          <w:szCs w:val="48"/>
          <w:lang w:val="en-GB" w:eastAsia="en-GB"/>
        </w:rPr>
      </w:pPr>
    </w:p>
    <w:p w:rsidR="5352EA8C" w:rsidP="37D35C3F" w:rsidRDefault="5352EA8C" w14:paraId="46532B74" w14:textId="57C65F42">
      <w:pPr>
        <w:jc w:val="center"/>
        <w:rPr>
          <w:rFonts w:ascii="Microsoft GothicNeo" w:hAnsi="Microsoft GothicNeo" w:eastAsia="Microsoft GothicNeo" w:cs="Microsoft GothicNeo"/>
          <w:b w:val="0"/>
          <w:bCs w:val="0"/>
          <w:i w:val="0"/>
          <w:iCs w:val="0"/>
          <w:caps w:val="0"/>
          <w:smallCaps w:val="0"/>
          <w:noProof w:val="0"/>
          <w:color w:val="auto"/>
          <w:sz w:val="24"/>
          <w:szCs w:val="24"/>
          <w:lang w:val="en-GB"/>
        </w:rPr>
      </w:pPr>
      <w:r w:rsidR="5352EA8C">
        <w:drawing>
          <wp:inline wp14:editId="672D6A81" wp14:anchorId="0C03ED66">
            <wp:extent cx="2447925" cy="704850"/>
            <wp:effectExtent l="0" t="0" r="0" b="0"/>
            <wp:docPr id="1918480252" name="drawing" title="A close up of a logo&#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18480252" name="Picture 1918480252"/>
                    <pic:cNvPicPr/>
                  </pic:nvPicPr>
                  <pic:blipFill>
                    <a:blip xmlns:r="http://schemas.openxmlformats.org/officeDocument/2006/relationships" r:embed="rId717531784">
                      <a:extLst>
                        <a:ext uri="{28A0092B-C50C-407E-A947-70E740481C1C}">
                          <a14:useLocalDpi xmlns:a14="http://schemas.microsoft.com/office/drawing/2010/main"/>
                        </a:ext>
                      </a:extLst>
                    </a:blip>
                    <a:stretch>
                      <a:fillRect/>
                    </a:stretch>
                  </pic:blipFill>
                  <pic:spPr>
                    <a:xfrm>
                      <a:off x="0" y="0"/>
                      <a:ext cx="2447925" cy="704850"/>
                    </a:xfrm>
                    <a:prstGeom prst="rect">
                      <a:avLst/>
                    </a:prstGeom>
                  </pic:spPr>
                </pic:pic>
              </a:graphicData>
            </a:graphic>
          </wp:inline>
        </w:drawing>
      </w:r>
    </w:p>
    <w:p w:rsidR="5352EA8C" w:rsidP="37D35C3F" w:rsidRDefault="5352EA8C" w14:paraId="161AEC80" w14:textId="4E3A2DE8">
      <w:pPr>
        <w:keepNext w:val="1"/>
        <w:keepLines w:val="1"/>
        <w:spacing w:before="240"/>
        <w:jc w:val="center"/>
        <w:rPr>
          <w:rFonts w:ascii="Calibri" w:hAnsi="Calibri" w:eastAsia="Calibri" w:cs="Calibri"/>
          <w:b w:val="0"/>
          <w:bCs w:val="0"/>
          <w:i w:val="0"/>
          <w:iCs w:val="0"/>
          <w:caps w:val="0"/>
          <w:smallCaps w:val="0"/>
          <w:noProof w:val="0"/>
          <w:color w:val="auto"/>
          <w:sz w:val="22"/>
          <w:szCs w:val="22"/>
          <w:lang w:val="en-GB"/>
        </w:rPr>
      </w:pPr>
      <w:r w:rsidR="5352EA8C">
        <w:drawing>
          <wp:inline wp14:editId="775DA172" wp14:anchorId="685CD668">
            <wp:extent cx="1924050" cy="171450"/>
            <wp:effectExtent l="0" t="0" r="0" b="0"/>
            <wp:docPr id="1651678874" name="drawing" title="Picture 1621366372, Pictur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51678874" name="Picture 1651678874"/>
                    <pic:cNvPicPr/>
                  </pic:nvPicPr>
                  <pic:blipFill>
                    <a:blip xmlns:r="http://schemas.openxmlformats.org/officeDocument/2006/relationships" r:embed="rId2141268811">
                      <a:extLst>
                        <a:ext uri="{28A0092B-C50C-407E-A947-70E740481C1C}">
                          <a14:useLocalDpi xmlns:a14="http://schemas.microsoft.com/office/drawing/2010/main"/>
                        </a:ext>
                      </a:extLst>
                    </a:blip>
                    <a:stretch>
                      <a:fillRect/>
                    </a:stretch>
                  </pic:blipFill>
                  <pic:spPr>
                    <a:xfrm>
                      <a:off x="0" y="0"/>
                      <a:ext cx="1924050" cy="171450"/>
                    </a:xfrm>
                    <a:prstGeom prst="rect">
                      <a:avLst/>
                    </a:prstGeom>
                  </pic:spPr>
                </pic:pic>
              </a:graphicData>
            </a:graphic>
          </wp:inline>
        </w:drawing>
      </w:r>
    </w:p>
    <w:p w:rsidR="37D35C3F" w:rsidP="37D35C3F" w:rsidRDefault="37D35C3F" w14:paraId="6599A09B" w14:textId="6FB2F2F1">
      <w:pPr>
        <w:rPr>
          <w:rFonts w:ascii="Microsoft GothicNeo" w:hAnsi="Microsoft GothicNeo" w:eastAsia="Microsoft GothicNeo" w:cs="Microsoft GothicNeo"/>
          <w:b w:val="0"/>
          <w:bCs w:val="0"/>
          <w:i w:val="0"/>
          <w:iCs w:val="0"/>
          <w:caps w:val="0"/>
          <w:smallCaps w:val="0"/>
          <w:noProof w:val="0"/>
          <w:color w:val="auto"/>
          <w:sz w:val="24"/>
          <w:szCs w:val="24"/>
          <w:lang w:val="en-GB"/>
        </w:rPr>
      </w:pPr>
    </w:p>
    <w:p w:rsidR="37D35C3F" w:rsidP="37D35C3F" w:rsidRDefault="37D35C3F" w14:paraId="7EC2C360" w14:textId="23EED08E">
      <w:pPr>
        <w:shd w:val="clear" w:color="auto" w:fill="FFFFFF" w:themeFill="background1"/>
        <w:jc w:val="center"/>
        <w:rPr>
          <w:rFonts w:ascii="Arial" w:hAnsi="Arial" w:eastAsia="Arial" w:cs="Arial"/>
          <w:b w:val="0"/>
          <w:bCs w:val="0"/>
          <w:i w:val="0"/>
          <w:iCs w:val="0"/>
          <w:caps w:val="0"/>
          <w:smallCaps w:val="0"/>
          <w:noProof w:val="0"/>
          <w:color w:val="auto"/>
          <w:sz w:val="24"/>
          <w:szCs w:val="24"/>
          <w:lang w:val="en-GB"/>
        </w:rPr>
      </w:pPr>
    </w:p>
    <w:p w:rsidR="5352EA8C" w:rsidP="37D35C3F" w:rsidRDefault="5352EA8C" w14:paraId="7460AA08" w14:textId="56A9484A">
      <w:pPr>
        <w:shd w:val="clear" w:color="auto" w:fill="FFFFFF" w:themeFill="background1"/>
        <w:jc w:val="center"/>
        <w:rPr>
          <w:rFonts w:ascii="Arial" w:hAnsi="Arial" w:eastAsia="Arial" w:cs="Arial"/>
          <w:b w:val="0"/>
          <w:bCs w:val="0"/>
          <w:i w:val="0"/>
          <w:iCs w:val="0"/>
          <w:caps w:val="0"/>
          <w:smallCaps w:val="0"/>
          <w:noProof w:val="0"/>
          <w:color w:val="auto"/>
          <w:sz w:val="24"/>
          <w:szCs w:val="24"/>
          <w:lang w:val="en-GB"/>
        </w:rPr>
      </w:pPr>
      <w:r w:rsidRPr="37D35C3F" w:rsidR="5352EA8C">
        <w:rPr>
          <w:rFonts w:ascii="Arial" w:hAnsi="Arial" w:eastAsia="Arial" w:cs="Arial"/>
          <w:b w:val="0"/>
          <w:bCs w:val="0"/>
          <w:i w:val="0"/>
          <w:iCs w:val="0"/>
          <w:caps w:val="0"/>
          <w:smallCaps w:val="0"/>
          <w:noProof w:val="0"/>
          <w:color w:val="auto"/>
          <w:sz w:val="24"/>
          <w:szCs w:val="24"/>
          <w:lang w:val="en-GB"/>
        </w:rPr>
        <w:t>Our school is part of the Embark Federation. </w:t>
      </w:r>
    </w:p>
    <w:p w:rsidR="5352EA8C" w:rsidP="37D35C3F" w:rsidRDefault="5352EA8C" w14:paraId="3DBD9E0E" w14:textId="10F2DDFE">
      <w:pPr>
        <w:jc w:val="center"/>
        <w:rPr>
          <w:rFonts w:ascii="Arial" w:hAnsi="Arial" w:eastAsia="Arial" w:cs="Arial"/>
          <w:b w:val="0"/>
          <w:bCs w:val="0"/>
          <w:i w:val="0"/>
          <w:iCs w:val="0"/>
          <w:caps w:val="0"/>
          <w:smallCaps w:val="0"/>
          <w:noProof w:val="0"/>
          <w:color w:val="auto"/>
          <w:sz w:val="24"/>
          <w:szCs w:val="24"/>
          <w:lang w:val="en-GB"/>
        </w:rPr>
      </w:pPr>
      <w:r w:rsidRPr="37D35C3F" w:rsidR="5352EA8C">
        <w:rPr>
          <w:rFonts w:ascii="Arial" w:hAnsi="Arial" w:eastAsia="Arial" w:cs="Arial"/>
          <w:b w:val="0"/>
          <w:bCs w:val="0"/>
          <w:i w:val="0"/>
          <w:iCs w:val="0"/>
          <w:caps w:val="0"/>
          <w:smallCaps w:val="0"/>
          <w:noProof w:val="0"/>
          <w:color w:val="auto"/>
          <w:sz w:val="24"/>
          <w:szCs w:val="24"/>
          <w:lang w:val="en-GB"/>
        </w:rPr>
        <w:t>The shared vision for our trust is to “create schools that ‘stand out’ at the heart of their communities.” Our trust has four core beliefs; Family, Integrity, Teamwork and Success that are integral to everything we do. The purpose is to enable everyone to be able to ‘Love Learning, Love Life.’ </w:t>
      </w:r>
    </w:p>
    <w:p w:rsidR="5352EA8C" w:rsidP="37D35C3F" w:rsidRDefault="5352EA8C" w14:paraId="28B88392" w14:textId="79E8ECEF">
      <w:pPr>
        <w:jc w:val="center"/>
        <w:rPr>
          <w:rFonts w:ascii="Arial" w:hAnsi="Arial" w:eastAsia="Arial" w:cs="Arial"/>
          <w:b w:val="0"/>
          <w:bCs w:val="0"/>
          <w:i w:val="0"/>
          <w:iCs w:val="0"/>
          <w:caps w:val="0"/>
          <w:smallCaps w:val="0"/>
          <w:noProof w:val="0"/>
          <w:color w:val="auto"/>
          <w:sz w:val="24"/>
          <w:szCs w:val="24"/>
          <w:lang w:val="en-GB"/>
        </w:rPr>
      </w:pPr>
      <w:r w:rsidRPr="37D35C3F" w:rsidR="5352EA8C">
        <w:rPr>
          <w:rFonts w:ascii="Arial" w:hAnsi="Arial" w:eastAsia="Arial" w:cs="Arial"/>
          <w:b w:val="0"/>
          <w:bCs w:val="0"/>
          <w:i w:val="0"/>
          <w:iCs w:val="0"/>
          <w:caps w:val="0"/>
          <w:smallCaps w:val="0"/>
          <w:noProof w:val="0"/>
          <w:color w:val="auto"/>
          <w:sz w:val="24"/>
          <w:szCs w:val="24"/>
          <w:lang w:val="en-GB"/>
        </w:rPr>
        <w:t>Our policies are underpinned by our vision, beliefs and purpose.  </w:t>
      </w:r>
    </w:p>
    <w:p w:rsidR="37D35C3F" w:rsidP="37D35C3F" w:rsidRDefault="37D35C3F" w14:paraId="6CC06C8E" w14:textId="0AC9E40E">
      <w:pPr>
        <w:pStyle w:val="Normal"/>
        <w:jc w:val="center"/>
        <w:rPr>
          <w:rFonts w:ascii="Arial" w:hAnsi="Arial" w:eastAsia="Arial" w:cs="Arial"/>
          <w:b w:val="0"/>
          <w:bCs w:val="0"/>
          <w:i w:val="0"/>
          <w:iCs w:val="0"/>
          <w:caps w:val="0"/>
          <w:smallCaps w:val="0"/>
          <w:noProof w:val="0"/>
          <w:color w:val="auto"/>
          <w:sz w:val="24"/>
          <w:szCs w:val="24"/>
          <w:lang w:val="en-GB"/>
        </w:rPr>
      </w:pPr>
    </w:p>
    <w:p w:rsidR="5352EA8C" w:rsidP="37D35C3F" w:rsidRDefault="5352EA8C" w14:paraId="73DB9521" w14:textId="49156F7A">
      <w:pPr>
        <w:pStyle w:val="3Policytitle"/>
        <w:spacing w:before="0" w:beforeAutospacing="off" w:after="120" w:afterAutospacing="off" w:line="276" w:lineRule="auto"/>
        <w:ind w:left="0" w:right="0"/>
        <w:jc w:val="center"/>
        <w:rPr>
          <w:rFonts w:ascii="Segoe UI" w:hAnsi="Segoe UI" w:eastAsia="Segoe UI" w:cs="Segoe UI"/>
          <w:b w:val="1"/>
          <w:bCs w:val="1"/>
          <w:i w:val="0"/>
          <w:iCs w:val="0"/>
          <w:caps w:val="0"/>
          <w:smallCaps w:val="0"/>
          <w:noProof w:val="0"/>
          <w:color w:val="auto"/>
          <w:sz w:val="44"/>
          <w:szCs w:val="44"/>
          <w:lang w:val="en-US"/>
        </w:rPr>
      </w:pPr>
      <w:r w:rsidRPr="37D35C3F" w:rsidR="5352EA8C">
        <w:rPr>
          <w:rFonts w:ascii="Segoe UI" w:hAnsi="Segoe UI" w:eastAsia="Segoe UI" w:cs="Segoe UI"/>
          <w:b w:val="1"/>
          <w:bCs w:val="1"/>
          <w:i w:val="0"/>
          <w:iCs w:val="0"/>
          <w:caps w:val="0"/>
          <w:smallCaps w:val="0"/>
          <w:noProof w:val="0"/>
          <w:color w:val="auto"/>
          <w:sz w:val="44"/>
          <w:szCs w:val="44"/>
          <w:lang w:val="en-US"/>
        </w:rPr>
        <w:t>Allergy &amp; Anaphylaxis Policy</w:t>
      </w:r>
    </w:p>
    <w:p w:rsidR="5352EA8C" w:rsidP="37D35C3F" w:rsidRDefault="5352EA8C" w14:paraId="71FC8D4B" w14:textId="589978A2">
      <w:pPr>
        <w:pStyle w:val="3Policytitle"/>
        <w:spacing w:before="0" w:beforeAutospacing="off" w:after="120" w:afterAutospacing="off" w:line="276" w:lineRule="auto"/>
        <w:ind w:left="0" w:right="0"/>
        <w:jc w:val="center"/>
        <w:rPr>
          <w:rFonts w:ascii="Segoe UI" w:hAnsi="Segoe UI" w:eastAsia="Segoe UI" w:cs="Segoe UI"/>
          <w:b w:val="1"/>
          <w:bCs w:val="1"/>
          <w:i w:val="0"/>
          <w:iCs w:val="0"/>
          <w:caps w:val="0"/>
          <w:smallCaps w:val="0"/>
          <w:noProof w:val="0"/>
          <w:color w:val="auto"/>
          <w:sz w:val="44"/>
          <w:szCs w:val="44"/>
          <w:lang w:val="en-US"/>
        </w:rPr>
      </w:pPr>
      <w:r w:rsidRPr="37D35C3F" w:rsidR="5352EA8C">
        <w:rPr>
          <w:rFonts w:ascii="Segoe UI" w:hAnsi="Segoe UI" w:eastAsia="Segoe UI" w:cs="Segoe UI"/>
          <w:b w:val="1"/>
          <w:bCs w:val="1"/>
          <w:i w:val="0"/>
          <w:iCs w:val="0"/>
          <w:caps w:val="0"/>
          <w:smallCaps w:val="0"/>
          <w:noProof w:val="0"/>
          <w:color w:val="auto"/>
          <w:sz w:val="44"/>
          <w:szCs w:val="44"/>
          <w:lang w:val="en-US"/>
        </w:rPr>
        <w:t>School Name</w:t>
      </w:r>
    </w:p>
    <w:p w:rsidR="37D35C3F" w:rsidP="37D35C3F" w:rsidRDefault="37D35C3F" w14:paraId="3789E070" w14:textId="3E9BCEEA">
      <w:pPr>
        <w:pStyle w:val="Normal"/>
        <w:jc w:val="center"/>
        <w:rPr>
          <w:rFonts w:ascii="Arial" w:hAnsi="Arial" w:eastAsia="Arial" w:cs="Arial"/>
          <w:b w:val="0"/>
          <w:bCs w:val="0"/>
          <w:i w:val="0"/>
          <w:iCs w:val="0"/>
          <w:caps w:val="0"/>
          <w:smallCaps w:val="0"/>
          <w:noProof w:val="0"/>
          <w:color w:val="auto"/>
          <w:sz w:val="24"/>
          <w:szCs w:val="24"/>
          <w:lang w:val="en-GB"/>
        </w:rPr>
      </w:pPr>
    </w:p>
    <w:p w:rsidR="37D35C3F" w:rsidP="37D35C3F" w:rsidRDefault="37D35C3F" w14:paraId="2DF3BD00" w14:textId="19607672">
      <w:pPr>
        <w:pStyle w:val="Normal"/>
        <w:jc w:val="center"/>
        <w:rPr>
          <w:rFonts w:ascii="Microsoft GothicNeo" w:hAnsi="Microsoft GothicNeo" w:eastAsia="Microsoft GothicNeo" w:cs="Microsoft GothicNeo"/>
          <w:b w:val="0"/>
          <w:bCs w:val="0"/>
          <w:i w:val="0"/>
          <w:iCs w:val="0"/>
          <w:caps w:val="0"/>
          <w:smallCaps w:val="0"/>
          <w:noProof w:val="0"/>
          <w:color w:val="auto"/>
          <w:sz w:val="24"/>
          <w:szCs w:val="24"/>
          <w:lang w:val="en-GB"/>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2400"/>
        <w:gridCol w:w="7365"/>
      </w:tblGrid>
      <w:tr w:rsidR="37D35C3F" w:rsidTr="37D35C3F" w14:paraId="15DC2FE3">
        <w:trPr>
          <w:trHeight w:val="300"/>
        </w:trPr>
        <w:tc>
          <w:tcPr>
            <w:tcW w:w="2400" w:type="dxa"/>
            <w:tcBorders>
              <w:top w:val="single" w:sz="6"/>
              <w:left w:val="single" w:sz="6"/>
            </w:tcBorders>
            <w:tcMar>
              <w:left w:w="105" w:type="dxa"/>
              <w:right w:w="105" w:type="dxa"/>
            </w:tcMar>
            <w:vAlign w:val="top"/>
          </w:tcPr>
          <w:p w:rsidR="37D35C3F" w:rsidP="37D35C3F" w:rsidRDefault="37D35C3F" w14:paraId="5B56565E" w14:textId="67C2903A">
            <w:pPr>
              <w:rPr>
                <w:rFonts w:ascii="Aptos" w:hAnsi="Aptos" w:eastAsia="Aptos" w:cs="Aptos"/>
                <w:b w:val="0"/>
                <w:bCs w:val="0"/>
                <w:i w:val="0"/>
                <w:iCs w:val="0"/>
                <w:color w:val="auto"/>
                <w:sz w:val="24"/>
                <w:szCs w:val="24"/>
                <w:lang w:val="en-GB"/>
              </w:rPr>
            </w:pPr>
            <w:r w:rsidRPr="37D35C3F" w:rsidR="37D35C3F">
              <w:rPr>
                <w:rFonts w:ascii="Aptos" w:hAnsi="Aptos" w:eastAsia="Aptos" w:cs="Aptos"/>
                <w:b w:val="0"/>
                <w:bCs w:val="0"/>
                <w:i w:val="0"/>
                <w:iCs w:val="0"/>
                <w:color w:val="auto"/>
                <w:sz w:val="24"/>
                <w:szCs w:val="24"/>
                <w:lang w:val="en-GB"/>
              </w:rPr>
              <w:t>Date of Issue</w:t>
            </w:r>
          </w:p>
        </w:tc>
        <w:tc>
          <w:tcPr>
            <w:tcW w:w="7365" w:type="dxa"/>
            <w:tcBorders>
              <w:top w:val="single" w:sz="6"/>
              <w:right w:val="single" w:sz="6"/>
            </w:tcBorders>
            <w:tcMar>
              <w:left w:w="105" w:type="dxa"/>
              <w:right w:w="105" w:type="dxa"/>
            </w:tcMar>
            <w:vAlign w:val="top"/>
          </w:tcPr>
          <w:p w:rsidR="37D35C3F" w:rsidP="37D35C3F" w:rsidRDefault="37D35C3F" w14:paraId="7B2C20FF" w14:textId="214D610D">
            <w:pPr>
              <w:rPr>
                <w:rFonts w:ascii="Aptos" w:hAnsi="Aptos" w:eastAsia="Aptos" w:cs="Aptos"/>
                <w:b w:val="0"/>
                <w:bCs w:val="0"/>
                <w:i w:val="0"/>
                <w:iCs w:val="0"/>
                <w:color w:val="auto"/>
                <w:sz w:val="24"/>
                <w:szCs w:val="24"/>
                <w:lang w:val="en-GB"/>
              </w:rPr>
            </w:pPr>
            <w:r w:rsidRPr="37D35C3F" w:rsidR="37D35C3F">
              <w:rPr>
                <w:rFonts w:ascii="Aptos" w:hAnsi="Aptos" w:eastAsia="Aptos" w:cs="Aptos"/>
                <w:b w:val="0"/>
                <w:bCs w:val="0"/>
                <w:i w:val="0"/>
                <w:iCs w:val="0"/>
                <w:color w:val="auto"/>
                <w:sz w:val="24"/>
                <w:szCs w:val="24"/>
                <w:lang w:val="en-GB"/>
              </w:rPr>
              <w:t>01/</w:t>
            </w:r>
            <w:r w:rsidRPr="37D35C3F" w:rsidR="5E98624A">
              <w:rPr>
                <w:rFonts w:ascii="Aptos" w:hAnsi="Aptos" w:eastAsia="Aptos" w:cs="Aptos"/>
                <w:b w:val="0"/>
                <w:bCs w:val="0"/>
                <w:i w:val="0"/>
                <w:iCs w:val="0"/>
                <w:color w:val="auto"/>
                <w:sz w:val="24"/>
                <w:szCs w:val="24"/>
                <w:lang w:val="en-GB"/>
              </w:rPr>
              <w:t>09/2026</w:t>
            </w:r>
          </w:p>
        </w:tc>
      </w:tr>
      <w:tr w:rsidR="37D35C3F" w:rsidTr="37D35C3F" w14:paraId="7FE0833B">
        <w:trPr>
          <w:trHeight w:val="300"/>
        </w:trPr>
        <w:tc>
          <w:tcPr>
            <w:tcW w:w="2400" w:type="dxa"/>
            <w:tcBorders>
              <w:left w:val="single" w:sz="6"/>
            </w:tcBorders>
            <w:tcMar>
              <w:left w:w="105" w:type="dxa"/>
              <w:right w:w="105" w:type="dxa"/>
            </w:tcMar>
            <w:vAlign w:val="top"/>
          </w:tcPr>
          <w:p w:rsidR="37D35C3F" w:rsidP="37D35C3F" w:rsidRDefault="37D35C3F" w14:paraId="6B0BDEE8" w14:textId="69535E5C">
            <w:pPr>
              <w:rPr>
                <w:rFonts w:ascii="Aptos" w:hAnsi="Aptos" w:eastAsia="Aptos" w:cs="Aptos"/>
                <w:b w:val="0"/>
                <w:bCs w:val="0"/>
                <w:i w:val="0"/>
                <w:iCs w:val="0"/>
                <w:color w:val="auto"/>
                <w:sz w:val="24"/>
                <w:szCs w:val="24"/>
                <w:lang w:val="en-GB"/>
              </w:rPr>
            </w:pPr>
            <w:r w:rsidRPr="37D35C3F" w:rsidR="37D35C3F">
              <w:rPr>
                <w:rFonts w:ascii="Aptos" w:hAnsi="Aptos" w:eastAsia="Aptos" w:cs="Aptos"/>
                <w:b w:val="0"/>
                <w:bCs w:val="0"/>
                <w:i w:val="0"/>
                <w:iCs w:val="0"/>
                <w:color w:val="auto"/>
                <w:sz w:val="24"/>
                <w:szCs w:val="24"/>
                <w:lang w:val="en-GB"/>
              </w:rPr>
              <w:t>Date of Review</w:t>
            </w:r>
          </w:p>
        </w:tc>
        <w:tc>
          <w:tcPr>
            <w:tcW w:w="7365" w:type="dxa"/>
            <w:tcBorders>
              <w:right w:val="single" w:sz="6"/>
            </w:tcBorders>
            <w:tcMar>
              <w:left w:w="105" w:type="dxa"/>
              <w:right w:w="105" w:type="dxa"/>
            </w:tcMar>
            <w:vAlign w:val="top"/>
          </w:tcPr>
          <w:p w:rsidR="37D35C3F" w:rsidP="37D35C3F" w:rsidRDefault="37D35C3F" w14:paraId="255B54F4" w14:textId="0D01C7B4">
            <w:pPr>
              <w:rPr>
                <w:rFonts w:ascii="Aptos" w:hAnsi="Aptos" w:eastAsia="Aptos" w:cs="Aptos"/>
                <w:b w:val="0"/>
                <w:bCs w:val="0"/>
                <w:i w:val="0"/>
                <w:iCs w:val="0"/>
                <w:color w:val="auto"/>
                <w:sz w:val="24"/>
                <w:szCs w:val="24"/>
                <w:lang w:val="en-GB"/>
              </w:rPr>
            </w:pPr>
            <w:r w:rsidRPr="37D35C3F" w:rsidR="37D35C3F">
              <w:rPr>
                <w:rFonts w:ascii="Aptos" w:hAnsi="Aptos" w:eastAsia="Aptos" w:cs="Aptos"/>
                <w:b w:val="0"/>
                <w:bCs w:val="0"/>
                <w:i w:val="0"/>
                <w:iCs w:val="0"/>
                <w:color w:val="auto"/>
                <w:sz w:val="24"/>
                <w:szCs w:val="24"/>
                <w:lang w:val="en-GB"/>
              </w:rPr>
              <w:t>01/</w:t>
            </w:r>
            <w:r w:rsidRPr="37D35C3F" w:rsidR="0F811D54">
              <w:rPr>
                <w:rFonts w:ascii="Aptos" w:hAnsi="Aptos" w:eastAsia="Aptos" w:cs="Aptos"/>
                <w:b w:val="0"/>
                <w:bCs w:val="0"/>
                <w:i w:val="0"/>
                <w:iCs w:val="0"/>
                <w:color w:val="auto"/>
                <w:sz w:val="24"/>
                <w:szCs w:val="24"/>
                <w:lang w:val="en-GB"/>
              </w:rPr>
              <w:t>09/2027</w:t>
            </w:r>
          </w:p>
        </w:tc>
      </w:tr>
      <w:tr w:rsidR="37D35C3F" w:rsidTr="37D35C3F" w14:paraId="78749815">
        <w:trPr>
          <w:trHeight w:val="300"/>
        </w:trPr>
        <w:tc>
          <w:tcPr>
            <w:tcW w:w="2400" w:type="dxa"/>
            <w:tcBorders>
              <w:left w:val="single" w:sz="6"/>
            </w:tcBorders>
            <w:tcMar>
              <w:left w:w="105" w:type="dxa"/>
              <w:right w:w="105" w:type="dxa"/>
            </w:tcMar>
            <w:vAlign w:val="top"/>
          </w:tcPr>
          <w:p w:rsidR="37D35C3F" w:rsidP="37D35C3F" w:rsidRDefault="37D35C3F" w14:paraId="0251EF52" w14:textId="15E2B04B">
            <w:pPr>
              <w:rPr>
                <w:rFonts w:ascii="Aptos" w:hAnsi="Aptos" w:eastAsia="Aptos" w:cs="Aptos"/>
                <w:b w:val="0"/>
                <w:bCs w:val="0"/>
                <w:i w:val="0"/>
                <w:iCs w:val="0"/>
                <w:color w:val="auto"/>
                <w:sz w:val="24"/>
                <w:szCs w:val="24"/>
                <w:lang w:val="en-GB"/>
              </w:rPr>
            </w:pPr>
            <w:r w:rsidRPr="37D35C3F" w:rsidR="37D35C3F">
              <w:rPr>
                <w:rFonts w:ascii="Aptos" w:hAnsi="Aptos" w:eastAsia="Aptos" w:cs="Aptos"/>
                <w:b w:val="0"/>
                <w:bCs w:val="0"/>
                <w:i w:val="0"/>
                <w:iCs w:val="0"/>
                <w:color w:val="auto"/>
                <w:sz w:val="24"/>
                <w:szCs w:val="24"/>
                <w:lang w:val="en-GB"/>
              </w:rPr>
              <w:t>Version</w:t>
            </w:r>
          </w:p>
        </w:tc>
        <w:tc>
          <w:tcPr>
            <w:tcW w:w="7365" w:type="dxa"/>
            <w:tcBorders>
              <w:right w:val="single" w:sz="6"/>
            </w:tcBorders>
            <w:tcMar>
              <w:left w:w="105" w:type="dxa"/>
              <w:right w:w="105" w:type="dxa"/>
            </w:tcMar>
            <w:vAlign w:val="top"/>
          </w:tcPr>
          <w:p w:rsidR="37D35C3F" w:rsidP="37D35C3F" w:rsidRDefault="37D35C3F" w14:paraId="133B938D" w14:textId="30843242">
            <w:pPr>
              <w:rPr>
                <w:rFonts w:ascii="Aptos" w:hAnsi="Aptos" w:eastAsia="Aptos" w:cs="Aptos"/>
                <w:b w:val="0"/>
                <w:bCs w:val="0"/>
                <w:i w:val="0"/>
                <w:iCs w:val="0"/>
                <w:color w:val="auto"/>
                <w:sz w:val="24"/>
                <w:szCs w:val="24"/>
                <w:lang w:val="en-GB"/>
              </w:rPr>
            </w:pPr>
            <w:r w:rsidRPr="37D35C3F" w:rsidR="37D35C3F">
              <w:rPr>
                <w:rFonts w:ascii="Aptos" w:hAnsi="Aptos" w:eastAsia="Aptos" w:cs="Aptos"/>
                <w:b w:val="0"/>
                <w:bCs w:val="0"/>
                <w:i w:val="0"/>
                <w:iCs w:val="0"/>
                <w:color w:val="auto"/>
                <w:sz w:val="24"/>
                <w:szCs w:val="24"/>
                <w:lang w:val="en-GB"/>
              </w:rPr>
              <w:t>V2 – no changes</w:t>
            </w:r>
          </w:p>
        </w:tc>
      </w:tr>
      <w:tr w:rsidR="37D35C3F" w:rsidTr="37D35C3F" w14:paraId="0A67DFC8">
        <w:trPr>
          <w:trHeight w:val="300"/>
        </w:trPr>
        <w:tc>
          <w:tcPr>
            <w:tcW w:w="2400" w:type="dxa"/>
            <w:tcBorders>
              <w:left w:val="single" w:sz="6"/>
              <w:bottom w:val="single" w:sz="6"/>
            </w:tcBorders>
            <w:tcMar>
              <w:left w:w="105" w:type="dxa"/>
              <w:right w:w="105" w:type="dxa"/>
            </w:tcMar>
            <w:vAlign w:val="top"/>
          </w:tcPr>
          <w:p w:rsidR="37D35C3F" w:rsidP="37D35C3F" w:rsidRDefault="37D35C3F" w14:paraId="3C4A69FA" w14:textId="2B0A78AC">
            <w:pPr>
              <w:rPr>
                <w:rFonts w:ascii="Aptos" w:hAnsi="Aptos" w:eastAsia="Aptos" w:cs="Aptos"/>
                <w:b w:val="0"/>
                <w:bCs w:val="0"/>
                <w:i w:val="0"/>
                <w:iCs w:val="0"/>
                <w:color w:val="auto"/>
                <w:sz w:val="24"/>
                <w:szCs w:val="24"/>
                <w:lang w:val="en-GB"/>
              </w:rPr>
            </w:pPr>
            <w:r w:rsidRPr="37D35C3F" w:rsidR="37D35C3F">
              <w:rPr>
                <w:rFonts w:ascii="Aptos" w:hAnsi="Aptos" w:eastAsia="Aptos" w:cs="Aptos"/>
                <w:b w:val="0"/>
                <w:bCs w:val="0"/>
                <w:i w:val="0"/>
                <w:iCs w:val="0"/>
                <w:color w:val="auto"/>
                <w:sz w:val="24"/>
                <w:szCs w:val="24"/>
                <w:lang w:val="en-GB"/>
              </w:rPr>
              <w:t>Approval Level</w:t>
            </w:r>
          </w:p>
        </w:tc>
        <w:tc>
          <w:tcPr>
            <w:tcW w:w="7365" w:type="dxa"/>
            <w:tcBorders>
              <w:bottom w:val="single" w:sz="6"/>
              <w:right w:val="single" w:sz="6"/>
            </w:tcBorders>
            <w:tcMar>
              <w:left w:w="105" w:type="dxa"/>
              <w:right w:w="105" w:type="dxa"/>
            </w:tcMar>
            <w:vAlign w:val="top"/>
          </w:tcPr>
          <w:p w:rsidR="37D35C3F" w:rsidP="37D35C3F" w:rsidRDefault="37D35C3F" w14:paraId="2449F607" w14:textId="544B6422">
            <w:pPr>
              <w:rPr>
                <w:rFonts w:ascii="Aptos" w:hAnsi="Aptos" w:eastAsia="Aptos" w:cs="Aptos"/>
                <w:b w:val="0"/>
                <w:bCs w:val="0"/>
                <w:i w:val="0"/>
                <w:iCs w:val="0"/>
                <w:color w:val="auto"/>
                <w:sz w:val="24"/>
                <w:szCs w:val="24"/>
                <w:lang w:val="en-GB"/>
              </w:rPr>
            </w:pPr>
            <w:r w:rsidRPr="37D35C3F" w:rsidR="37D35C3F">
              <w:rPr>
                <w:rFonts w:ascii="Aptos" w:hAnsi="Aptos" w:eastAsia="Aptos" w:cs="Aptos"/>
                <w:b w:val="0"/>
                <w:bCs w:val="0"/>
                <w:i w:val="0"/>
                <w:iCs w:val="0"/>
                <w:color w:val="auto"/>
                <w:sz w:val="24"/>
                <w:szCs w:val="24"/>
                <w:lang w:val="en-GB"/>
              </w:rPr>
              <w:t xml:space="preserve">Trust </w:t>
            </w:r>
            <w:r w:rsidRPr="37D35C3F" w:rsidR="18A30E7A">
              <w:rPr>
                <w:rFonts w:ascii="Aptos" w:hAnsi="Aptos" w:eastAsia="Aptos" w:cs="Aptos"/>
                <w:b w:val="0"/>
                <w:bCs w:val="0"/>
                <w:i w:val="0"/>
                <w:iCs w:val="0"/>
                <w:color w:val="auto"/>
                <w:sz w:val="24"/>
                <w:szCs w:val="24"/>
                <w:lang w:val="en-GB"/>
              </w:rPr>
              <w:t>Board</w:t>
            </w:r>
          </w:p>
        </w:tc>
      </w:tr>
    </w:tbl>
    <w:p w:rsidR="37D35C3F" w:rsidP="37D35C3F" w:rsidRDefault="37D35C3F" w14:paraId="3B9A08FF" w14:textId="6AD4FE49">
      <w:pPr>
        <w:pStyle w:val="Normal"/>
        <w:bidi w:val="0"/>
        <w:spacing w:after="0" w:line="240" w:lineRule="auto"/>
        <w:rPr>
          <w:rFonts w:ascii="Times New Roman" w:hAnsi="Times New Roman" w:eastAsia="Times New Roman" w:cs="Times New Roman"/>
          <w:b w:val="0"/>
          <w:bCs w:val="0"/>
          <w:i w:val="0"/>
          <w:iCs w:val="0"/>
          <w:caps w:val="0"/>
          <w:smallCaps w:val="0"/>
          <w:noProof w:val="0"/>
          <w:color w:val="auto"/>
          <w:sz w:val="32"/>
          <w:szCs w:val="32"/>
          <w:lang w:val="en-GB"/>
        </w:rPr>
      </w:pPr>
    </w:p>
    <w:p w:rsidR="00E52E31" w:rsidP="37D35C3F" w:rsidRDefault="00E52E31" w14:paraId="056B4165" w14:textId="2D3EC8C4">
      <w:pPr>
        <w:rPr>
          <w:b w:val="1"/>
          <w:bCs w:val="1"/>
          <w:color w:val="auto"/>
          <w:sz w:val="32"/>
          <w:szCs w:val="32"/>
        </w:rPr>
      </w:pPr>
      <w:r w:rsidRPr="37D35C3F">
        <w:rPr>
          <w:b w:val="1"/>
          <w:bCs w:val="1"/>
          <w:color w:val="auto"/>
          <w:sz w:val="32"/>
          <w:szCs w:val="32"/>
        </w:rPr>
        <w:br w:type="page"/>
      </w:r>
    </w:p>
    <w:p w:rsidRPr="009F4402" w:rsidR="009F4402" w:rsidP="37D35C3F" w:rsidRDefault="00D03085" w14:paraId="0FA02CD4" w14:textId="414FCB80">
      <w:pPr>
        <w:jc w:val="center"/>
        <w:rPr>
          <w:b w:val="1"/>
          <w:bCs w:val="1"/>
          <w:color w:val="auto"/>
          <w:sz w:val="32"/>
          <w:szCs w:val="32"/>
          <w:u w:val="single"/>
        </w:rPr>
      </w:pPr>
      <w:r w:rsidRPr="37D35C3F" w:rsidR="00D03085">
        <w:rPr>
          <w:b w:val="1"/>
          <w:bCs w:val="1"/>
          <w:color w:val="auto"/>
          <w:sz w:val="32"/>
          <w:szCs w:val="32"/>
          <w:u w:val="single"/>
        </w:rPr>
        <w:t xml:space="preserve">Allergy and Anaphylaxis </w:t>
      </w:r>
    </w:p>
    <w:p w:rsidRPr="009F4402" w:rsidR="00AB66DB" w:rsidP="37D35C3F" w:rsidRDefault="006133BE" w14:paraId="4D550128" w14:textId="2CCA414D">
      <w:pPr>
        <w:jc w:val="center"/>
        <w:rPr>
          <w:color w:val="auto"/>
          <w:u w:val="single"/>
        </w:rPr>
      </w:pPr>
      <w:r w:rsidRPr="37D35C3F" w:rsidR="006133BE">
        <w:rPr>
          <w:b w:val="1"/>
          <w:bCs w:val="1"/>
          <w:color w:val="auto"/>
          <w:sz w:val="32"/>
          <w:szCs w:val="32"/>
          <w:u w:val="single"/>
        </w:rPr>
        <w:t xml:space="preserve">School </w:t>
      </w:r>
      <w:r w:rsidRPr="37D35C3F" w:rsidR="00D03085">
        <w:rPr>
          <w:b w:val="1"/>
          <w:bCs w:val="1"/>
          <w:color w:val="auto"/>
          <w:sz w:val="32"/>
          <w:szCs w:val="32"/>
          <w:u w:val="single"/>
        </w:rPr>
        <w:t>Policy</w:t>
      </w:r>
    </w:p>
    <w:p w:rsidRPr="009052F5" w:rsidR="00F8627D" w:rsidP="37D35C3F" w:rsidRDefault="00CB7EA3" w14:paraId="3C3873A6" w14:textId="29A2F8C4">
      <w:pPr>
        <w:rPr>
          <w:color w:val="auto"/>
          <w:highlight w:val="yellow"/>
        </w:rPr>
      </w:pPr>
      <w:r w:rsidRPr="37D35C3F" w:rsidR="00CB7EA3">
        <w:rPr>
          <w:color w:val="auto"/>
          <w:highlight w:val="yellow"/>
        </w:rPr>
        <w:t xml:space="preserve">This policy is provided for adoption and local adaptation by DCC Community Schools and by schools and academy trusts that purchase support from DCC Health, Safety and Wellbeing. It sets out clear and practical arrangements for managing allergies and anaphylaxis and should be adapted to reflect the school’s local governance, catering, staffing, site arrangements and pupil needs. </w:t>
      </w:r>
      <w:r w:rsidRPr="37D35C3F" w:rsidR="00F8627D">
        <w:rPr>
          <w:color w:val="auto"/>
          <w:highlight w:val="yellow"/>
        </w:rPr>
        <w:t>It sets out clear and practical arrangements for managing allergies and anaphylaxis and should be adapted to reflect the school’s local governance, catering, staffing, site arrangements and pupil needs.</w:t>
      </w:r>
    </w:p>
    <w:p w:rsidRPr="009052F5" w:rsidR="00F8627D" w:rsidP="37D35C3F" w:rsidRDefault="00F8627D" w14:paraId="53ECB67E" w14:textId="77777777">
      <w:pPr>
        <w:rPr>
          <w:color w:val="auto"/>
          <w:highlight w:val="yellow"/>
        </w:rPr>
      </w:pPr>
      <w:r w:rsidRPr="37D35C3F" w:rsidR="00F8627D">
        <w:rPr>
          <w:color w:val="auto"/>
          <w:highlight w:val="yellow"/>
        </w:rPr>
        <w:t>The school will add local details, including named responsibilities, approval and review dates, medication and spare adrenaline auto-injector arrangements, catering, training and communication processes. The policy will be published, accessible to staff and parents, and reviewed at least annually or sooner following a serious allergic reaction, significant near miss, change in statutory requirements, national guidance or local arrangements.</w:t>
      </w:r>
    </w:p>
    <w:p w:rsidRPr="009052F5" w:rsidR="00F8627D" w:rsidP="37D35C3F" w:rsidRDefault="00F8627D" w14:paraId="1C896F01" w14:textId="77777777">
      <w:pPr>
        <w:rPr>
          <w:color w:val="auto"/>
          <w:highlight w:val="yellow"/>
        </w:rPr>
      </w:pPr>
      <w:r w:rsidRPr="37D35C3F" w:rsidR="00F8627D">
        <w:rPr>
          <w:color w:val="auto"/>
          <w:highlight w:val="yellow"/>
        </w:rPr>
        <w:t xml:space="preserve">This policy will be read alongside the Derbyshire County Council Supporting Pupils with Medical Needs Guidance, the school’s Administration of Medicines Policy and relevant first aid, safeguarding, </w:t>
      </w:r>
      <w:r w:rsidRPr="37D35C3F" w:rsidR="00F8627D">
        <w:rPr>
          <w:color w:val="auto"/>
          <w:highlight w:val="yellow"/>
        </w:rPr>
        <w:t>behaviour</w:t>
      </w:r>
      <w:r w:rsidRPr="37D35C3F" w:rsidR="00F8627D">
        <w:rPr>
          <w:color w:val="auto"/>
          <w:highlight w:val="yellow"/>
        </w:rPr>
        <w:t xml:space="preserve"> and anti-bullying, educational visits, food safety/catering and special diet procedures.</w:t>
      </w:r>
    </w:p>
    <w:p w:rsidRPr="00813B5D" w:rsidR="00946D09" w:rsidP="37D35C3F" w:rsidRDefault="00946D09" w14:paraId="699D711F" w14:textId="77777777">
      <w:pPr>
        <w:rPr>
          <w:color w:val="auto"/>
          <w:kern w:val="2"/>
          <w:lang w:val="en-GB" w:eastAsia="en-GB"/>
          <w14:ligatures w14:val="standardContextual"/>
        </w:rPr>
      </w:pPr>
      <w:r w:rsidRPr="37D35C3F" w:rsidR="00946D09">
        <w:rPr>
          <w:color w:val="auto"/>
          <w:highlight w:val="yellow"/>
        </w:rPr>
        <w:t>Derbyshire County Council Supporting Pupils with Medical Needs Guidance explains the status of legal requirements, statutory guidance, recommended practice and local discretion. It also contains or signposts the forms, templates, records and reference links that support allergy and anaphylaxis arrangements.</w:t>
      </w:r>
    </w:p>
    <w:p w:rsidRPr="00576E63" w:rsidR="00624C6D" w:rsidP="37D35C3F" w:rsidRDefault="00624C6D" w14:paraId="3F363A4D" w14:textId="0133973F">
      <w:pPr>
        <w:spacing w:after="120"/>
        <w:rPr>
          <w:color w:val="auto"/>
          <w:lang w:val="en-GB"/>
        </w:rPr>
      </w:pPr>
      <w:r w:rsidRPr="37D35C3F" w:rsidR="00624C6D">
        <w:rPr>
          <w:b w:val="1"/>
          <w:bCs w:val="1"/>
          <w:color w:val="auto"/>
          <w:lang w:val="en-GB"/>
        </w:rPr>
        <w:t>Policy Development</w:t>
      </w:r>
    </w:p>
    <w:p w:rsidRPr="00D81EA9" w:rsidR="00D81EA9" w:rsidP="37D35C3F" w:rsidRDefault="00D81EA9" w14:paraId="6093B665" w14:textId="77777777">
      <w:pPr>
        <w:rPr>
          <w:color w:val="auto"/>
          <w:lang w:val="en-GB"/>
        </w:rPr>
      </w:pPr>
      <w:r w:rsidRPr="37D35C3F" w:rsidR="00D81EA9">
        <w:rPr>
          <w:color w:val="auto"/>
          <w:lang w:val="en-GB"/>
        </w:rPr>
        <w:t>This model policy has been developed by Derbyshire County Council (DCC) with reference to current legislation, national guidance and recognised good practice, including:</w:t>
      </w:r>
    </w:p>
    <w:p w:rsidRPr="00B74B79" w:rsidR="00B74B79" w:rsidP="37D35C3F" w:rsidRDefault="00B8366B" w14:paraId="0ADA0FE6" w14:textId="64064BB8">
      <w:pPr>
        <w:pStyle w:val="ListParagraph"/>
        <w:numPr>
          <w:ilvl w:val="0"/>
          <w:numId w:val="7"/>
        </w:numPr>
        <w:spacing w:line="240" w:lineRule="auto"/>
        <w:rPr>
          <w:color w:val="auto"/>
          <w:lang w:val="en-GB"/>
        </w:rPr>
      </w:pPr>
      <w:r w:rsidRPr="37D35C3F" w:rsidR="00B8366B">
        <w:rPr>
          <w:color w:val="auto"/>
          <w:lang w:val="en-GB"/>
        </w:rPr>
        <w:t xml:space="preserve">Department for Education </w:t>
      </w:r>
      <w:r w:rsidRPr="37D35C3F" w:rsidR="00B8366B">
        <w:rPr>
          <w:color w:val="auto"/>
          <w:lang w:val="en-GB"/>
        </w:rPr>
        <w:t xml:space="preserve">(DfE) </w:t>
      </w:r>
      <w:r w:rsidRPr="37D35C3F" w:rsidR="00B74B79">
        <w:rPr>
          <w:color w:val="auto"/>
          <w:lang w:val="en-GB"/>
        </w:rPr>
        <w:t>statutory guidance: Supporting pupils at school with medical conditions.</w:t>
      </w:r>
    </w:p>
    <w:p w:rsidRPr="00B74B79" w:rsidR="00B74B79" w:rsidP="37D35C3F" w:rsidRDefault="00B8366B" w14:paraId="308A972E" w14:textId="414E7B4A">
      <w:pPr>
        <w:pStyle w:val="ListParagraph"/>
        <w:numPr>
          <w:ilvl w:val="0"/>
          <w:numId w:val="7"/>
        </w:numPr>
        <w:spacing w:line="240" w:lineRule="auto"/>
        <w:rPr>
          <w:color w:val="auto"/>
          <w:lang w:val="en-GB"/>
        </w:rPr>
      </w:pPr>
      <w:r w:rsidRPr="37D35C3F" w:rsidR="00B8366B">
        <w:rPr>
          <w:color w:val="auto"/>
          <w:lang w:val="en-GB"/>
        </w:rPr>
        <w:t>DfE</w:t>
      </w:r>
      <w:r w:rsidRPr="37D35C3F" w:rsidR="00B74B79">
        <w:rPr>
          <w:color w:val="auto"/>
          <w:lang w:val="en-GB"/>
        </w:rPr>
        <w:t xml:space="preserve"> statutory guidance: Allergy safety in schools.</w:t>
      </w:r>
    </w:p>
    <w:p w:rsidRPr="00B74B79" w:rsidR="00B74B79" w:rsidP="37D35C3F" w:rsidRDefault="00B8366B" w14:paraId="7615902B" w14:textId="79FCEF80">
      <w:pPr>
        <w:pStyle w:val="ListParagraph"/>
        <w:numPr>
          <w:ilvl w:val="0"/>
          <w:numId w:val="7"/>
        </w:numPr>
        <w:spacing w:line="240" w:lineRule="auto"/>
        <w:rPr>
          <w:color w:val="auto"/>
          <w:lang w:val="en-GB"/>
        </w:rPr>
      </w:pPr>
      <w:r w:rsidRPr="37D35C3F" w:rsidR="00B8366B">
        <w:rPr>
          <w:color w:val="auto"/>
          <w:lang w:val="en-GB"/>
        </w:rPr>
        <w:t>DfE</w:t>
      </w:r>
      <w:r w:rsidRPr="37D35C3F" w:rsidR="00B74B79">
        <w:rPr>
          <w:color w:val="auto"/>
          <w:lang w:val="en-GB"/>
        </w:rPr>
        <w:t xml:space="preserve"> Allergy safety policy template.</w:t>
      </w:r>
    </w:p>
    <w:p w:rsidRPr="00B74B79" w:rsidR="00B74B79" w:rsidP="37D35C3F" w:rsidRDefault="00B74B79" w14:paraId="65775673" w14:textId="77777777">
      <w:pPr>
        <w:pStyle w:val="ListParagraph"/>
        <w:numPr>
          <w:ilvl w:val="0"/>
          <w:numId w:val="7"/>
        </w:numPr>
        <w:spacing w:line="240" w:lineRule="auto"/>
        <w:rPr>
          <w:color w:val="auto"/>
          <w:lang w:val="en-GB"/>
        </w:rPr>
      </w:pPr>
      <w:r w:rsidRPr="37D35C3F" w:rsidR="00B74B79">
        <w:rPr>
          <w:color w:val="auto"/>
          <w:lang w:val="en-GB"/>
        </w:rPr>
        <w:t>Children’s Wellbeing and Schools Act 2026, section 34, which inserts the allergy safety policy requirement into the Children and Families Act 2014.</w:t>
      </w:r>
    </w:p>
    <w:p w:rsidRPr="00B74B79" w:rsidR="00B74B79" w:rsidP="37D35C3F" w:rsidRDefault="00B74B79" w14:paraId="5F57586B" w14:textId="0C2F148E">
      <w:pPr>
        <w:pStyle w:val="ListParagraph"/>
        <w:numPr>
          <w:ilvl w:val="0"/>
          <w:numId w:val="7"/>
        </w:numPr>
        <w:spacing w:line="240" w:lineRule="auto"/>
        <w:rPr>
          <w:color w:val="auto"/>
          <w:lang w:val="en-GB"/>
        </w:rPr>
      </w:pPr>
      <w:r w:rsidRPr="37D35C3F" w:rsidR="00B74B79">
        <w:rPr>
          <w:color w:val="auto"/>
          <w:lang w:val="en-GB"/>
        </w:rPr>
        <w:t xml:space="preserve">Department of Health and Social Care </w:t>
      </w:r>
      <w:r w:rsidRPr="37D35C3F" w:rsidR="00BA5CE5">
        <w:rPr>
          <w:color w:val="auto"/>
          <w:lang w:val="en-GB"/>
        </w:rPr>
        <w:t xml:space="preserve">(DHSC) </w:t>
      </w:r>
      <w:r w:rsidRPr="37D35C3F" w:rsidR="00B74B79">
        <w:rPr>
          <w:color w:val="auto"/>
          <w:lang w:val="en-GB"/>
        </w:rPr>
        <w:t>guidance on the use of emergency adrenaline auto-injectors in schools.</w:t>
      </w:r>
    </w:p>
    <w:p w:rsidRPr="00B74B79" w:rsidR="00B74B79" w:rsidP="37D35C3F" w:rsidRDefault="00B74B79" w14:paraId="3E22E543" w14:textId="77777777">
      <w:pPr>
        <w:pStyle w:val="ListParagraph"/>
        <w:numPr>
          <w:ilvl w:val="0"/>
          <w:numId w:val="7"/>
        </w:numPr>
        <w:spacing w:line="240" w:lineRule="auto"/>
        <w:rPr>
          <w:color w:val="auto"/>
          <w:lang w:val="en-GB"/>
        </w:rPr>
      </w:pPr>
      <w:r w:rsidRPr="37D35C3F" w:rsidR="00B74B79">
        <w:rPr>
          <w:color w:val="auto"/>
          <w:lang w:val="en-GB"/>
        </w:rPr>
        <w:t>Food Standards Agency guidance on allergen information and food allergen management.</w:t>
      </w:r>
    </w:p>
    <w:p w:rsidR="00D81EA9" w:rsidP="37D35C3F" w:rsidRDefault="00B52CA1" w14:paraId="69C2A064" w14:textId="228604E1">
      <w:pPr>
        <w:pStyle w:val="ListParagraph"/>
        <w:numPr>
          <w:ilvl w:val="0"/>
          <w:numId w:val="7"/>
        </w:numPr>
        <w:spacing w:line="240" w:lineRule="auto"/>
        <w:rPr>
          <w:color w:val="auto"/>
          <w:lang w:val="en-GB"/>
        </w:rPr>
      </w:pPr>
      <w:r w:rsidRPr="37D35C3F" w:rsidR="00B52CA1">
        <w:rPr>
          <w:color w:val="auto"/>
          <w:lang w:val="en-GB"/>
        </w:rPr>
        <w:t>A</w:t>
      </w:r>
      <w:r w:rsidRPr="37D35C3F" w:rsidR="00B52CA1">
        <w:rPr>
          <w:color w:val="auto"/>
          <w:lang w:val="en-GB"/>
        </w:rPr>
        <w:t>llergy Action Plans and relevant allergy sector resources.</w:t>
      </w:r>
    </w:p>
    <w:p w:rsidRPr="00CB7EA3" w:rsidR="00A4489E" w:rsidP="37D35C3F" w:rsidRDefault="00D81EA9" w14:paraId="718B250B" w14:textId="2224E71F">
      <w:pPr>
        <w:pStyle w:val="ListParagraph"/>
        <w:numPr>
          <w:ilvl w:val="0"/>
          <w:numId w:val="7"/>
        </w:numPr>
        <w:spacing w:line="240" w:lineRule="auto"/>
        <w:rPr>
          <w:color w:val="auto"/>
        </w:rPr>
      </w:pPr>
      <w:r w:rsidRPr="37D35C3F" w:rsidR="00D81EA9">
        <w:rPr>
          <w:color w:val="auto"/>
          <w:lang w:val="en-GB"/>
        </w:rPr>
        <w:t>Derbyshire County Council Supporting Pupils with Medical Needs Guidance and Administration of Medicines Model School Policy.</w:t>
      </w:r>
      <w:r w:rsidRPr="37D35C3F">
        <w:rPr>
          <w:color w:val="auto"/>
        </w:rPr>
        <w:br w:type="page"/>
      </w:r>
    </w:p>
    <w:p w:rsidRPr="00A21752" w:rsidR="00457188" w:rsidP="37D35C3F" w:rsidRDefault="00457188" w14:paraId="14969424" w14:textId="1F855747">
      <w:pPr>
        <w:rPr>
          <w:rFonts w:cs="Arial"/>
          <w:b w:val="1"/>
          <w:bCs w:val="1"/>
          <w:color w:val="auto"/>
        </w:rPr>
      </w:pPr>
      <w:r w:rsidRPr="37D35C3F" w:rsidR="00457188">
        <w:rPr>
          <w:rFonts w:cs="Arial"/>
          <w:b w:val="1"/>
          <w:bCs w:val="1"/>
          <w:color w:val="auto"/>
        </w:rPr>
        <w:t>Content</w:t>
      </w:r>
      <w:r w:rsidRPr="37D35C3F" w:rsidR="00D73EB3">
        <w:rPr>
          <w:rFonts w:cs="Arial"/>
          <w:b w:val="1"/>
          <w:bCs w:val="1"/>
          <w:color w:val="auto"/>
        </w:rPr>
        <w: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5"/>
        <w:gridCol w:w="7405"/>
        <w:gridCol w:w="636"/>
      </w:tblGrid>
      <w:tr w:rsidRPr="00A21752" w:rsidR="00A4489E" w:rsidTr="37D35C3F" w14:paraId="7D8EEF8A" w14:textId="77777777">
        <w:trPr>
          <w:tblHeader/>
          <w:tblCellSpacing w:w="15" w:type="dxa"/>
        </w:trPr>
        <w:tc>
          <w:tcPr>
            <w:tcW w:w="8035" w:type="dxa"/>
            <w:gridSpan w:val="2"/>
            <w:tcMar/>
            <w:vAlign w:val="center"/>
            <w:hideMark/>
          </w:tcPr>
          <w:p w:rsidRPr="00A21752" w:rsidR="00A4489E" w:rsidP="37D35C3F" w:rsidRDefault="00A4489E" w14:paraId="12254E1E" w14:textId="5D901DF1">
            <w:pPr>
              <w:pStyle w:val="NoSpacing"/>
              <w:spacing w:line="276" w:lineRule="auto"/>
              <w:rPr>
                <w:rFonts w:ascii="Arial" w:hAnsi="Arial" w:cs="Arial"/>
                <w:color w:val="auto"/>
                <w:sz w:val="24"/>
                <w:szCs w:val="24"/>
                <w:lang w:val="en-GB"/>
              </w:rPr>
            </w:pPr>
            <w:r w:rsidRPr="37D35C3F" w:rsidR="6537B8AE">
              <w:rPr>
                <w:rFonts w:ascii="Arial" w:hAnsi="Arial" w:cs="Arial"/>
                <w:color w:val="auto"/>
                <w:sz w:val="24"/>
                <w:szCs w:val="24"/>
                <w:lang w:val="en-GB"/>
              </w:rPr>
              <w:t>Section</w:t>
            </w:r>
            <w:r w:rsidRPr="37D35C3F" w:rsidR="19AE070C">
              <w:rPr>
                <w:rFonts w:ascii="Arial" w:hAnsi="Arial" w:cs="Arial"/>
                <w:color w:val="auto"/>
                <w:sz w:val="24"/>
                <w:szCs w:val="24"/>
                <w:lang w:val="en-GB"/>
              </w:rPr>
              <w:t>s</w:t>
            </w:r>
          </w:p>
        </w:tc>
        <w:tc>
          <w:tcPr>
            <w:tcW w:w="591" w:type="dxa"/>
            <w:tcMar/>
            <w:vAlign w:val="center"/>
            <w:hideMark/>
          </w:tcPr>
          <w:p w:rsidRPr="00A21752" w:rsidR="00A4489E" w:rsidP="37D35C3F" w:rsidRDefault="00A4489E" w14:paraId="3C32A273" w14:textId="77777777">
            <w:pPr>
              <w:pStyle w:val="NoSpacing"/>
              <w:spacing w:line="276" w:lineRule="auto"/>
              <w:rPr>
                <w:rFonts w:ascii="Arial" w:hAnsi="Arial" w:cs="Arial"/>
                <w:color w:val="auto"/>
                <w:sz w:val="24"/>
                <w:szCs w:val="24"/>
                <w:lang w:val="en-GB"/>
              </w:rPr>
            </w:pPr>
            <w:r w:rsidRPr="37D35C3F" w:rsidR="6537B8AE">
              <w:rPr>
                <w:rFonts w:ascii="Arial" w:hAnsi="Arial" w:cs="Arial"/>
                <w:color w:val="auto"/>
                <w:sz w:val="24"/>
                <w:szCs w:val="24"/>
                <w:lang w:val="en-GB"/>
              </w:rPr>
              <w:t>Page</w:t>
            </w:r>
          </w:p>
        </w:tc>
      </w:tr>
      <w:tr w:rsidRPr="00A21752" w:rsidR="00DB4013" w:rsidTr="37D35C3F" w14:paraId="591BE96D" w14:textId="77777777">
        <w:trPr>
          <w:tblCellSpacing w:w="15" w:type="dxa"/>
        </w:trPr>
        <w:tc>
          <w:tcPr>
            <w:tcW w:w="8035" w:type="dxa"/>
            <w:gridSpan w:val="2"/>
            <w:tcMar/>
            <w:vAlign w:val="center"/>
            <w:hideMark/>
          </w:tcPr>
          <w:p w:rsidRPr="0038672B" w:rsidR="00DB4013" w:rsidP="37D35C3F" w:rsidRDefault="00DB4013" w14:paraId="6F887232"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Definitions</w:t>
            </w:r>
          </w:p>
        </w:tc>
        <w:tc>
          <w:tcPr>
            <w:tcW w:w="591" w:type="dxa"/>
            <w:tcMar/>
            <w:hideMark/>
          </w:tcPr>
          <w:p w:rsidRPr="00DB4013" w:rsidR="00DB4013" w:rsidP="37D35C3F" w:rsidRDefault="00DB4013" w14:paraId="6091EC1C" w14:textId="76E04A4B">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3</w:t>
            </w:r>
          </w:p>
        </w:tc>
      </w:tr>
      <w:tr w:rsidRPr="00A21752" w:rsidR="00DB4013" w:rsidTr="37D35C3F" w14:paraId="05673619" w14:textId="77777777">
        <w:trPr>
          <w:tblCellSpacing w:w="15" w:type="dxa"/>
        </w:trPr>
        <w:tc>
          <w:tcPr>
            <w:tcW w:w="8035" w:type="dxa"/>
            <w:gridSpan w:val="2"/>
            <w:tcMar/>
            <w:vAlign w:val="center"/>
            <w:hideMark/>
          </w:tcPr>
          <w:p w:rsidRPr="0038672B" w:rsidR="00DB4013" w:rsidP="37D35C3F" w:rsidRDefault="00DB4013" w14:paraId="1ED6F316" w14:textId="63156616">
            <w:pPr>
              <w:pStyle w:val="NoSpacing"/>
              <w:spacing w:line="276" w:lineRule="auto"/>
              <w:rPr>
                <w:rFonts w:ascii="Arial" w:hAnsi="Arial" w:cs="Arial"/>
                <w:color w:val="auto"/>
                <w:lang w:val="en-GB"/>
              </w:rPr>
            </w:pPr>
            <w:r w:rsidRPr="37D35C3F" w:rsidR="119DABBB">
              <w:rPr>
                <w:rFonts w:ascii="Arial" w:hAnsi="Arial" w:cs="Arial"/>
                <w:color w:val="auto"/>
                <w:sz w:val="24"/>
                <w:szCs w:val="24"/>
                <w:lang w:val="en-GB"/>
              </w:rPr>
              <w:t xml:space="preserve">Document Control </w:t>
            </w:r>
          </w:p>
        </w:tc>
        <w:tc>
          <w:tcPr>
            <w:tcW w:w="591" w:type="dxa"/>
            <w:tcMar/>
            <w:hideMark/>
          </w:tcPr>
          <w:p w:rsidRPr="00DB4013" w:rsidR="00DB4013" w:rsidP="37D35C3F" w:rsidRDefault="00DB4013" w14:paraId="37384977" w14:textId="2D23E2A2">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4</w:t>
            </w:r>
          </w:p>
        </w:tc>
      </w:tr>
      <w:tr w:rsidRPr="00A21752" w:rsidR="00DB4013" w:rsidTr="37D35C3F" w14:paraId="2DC1C56E" w14:textId="77777777">
        <w:trPr>
          <w:tblCellSpacing w:w="15" w:type="dxa"/>
        </w:trPr>
        <w:tc>
          <w:tcPr>
            <w:tcW w:w="8035" w:type="dxa"/>
            <w:gridSpan w:val="2"/>
            <w:tcMar/>
            <w:vAlign w:val="center"/>
            <w:hideMark/>
          </w:tcPr>
          <w:p w:rsidRPr="0038672B" w:rsidR="00DB4013" w:rsidP="37D35C3F" w:rsidRDefault="00DB4013" w14:paraId="639304B8" w14:textId="70DF8E8F">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Governance Oversight</w:t>
            </w:r>
            <w:r w:rsidRPr="37D35C3F" w:rsidR="119DABBB">
              <w:rPr>
                <w:rFonts w:ascii="Arial" w:hAnsi="Arial" w:cs="Arial"/>
                <w:color w:val="auto"/>
                <w:sz w:val="24"/>
                <w:szCs w:val="24"/>
                <w:lang w:val="en-GB"/>
              </w:rPr>
              <w:t xml:space="preserve"> </w:t>
            </w:r>
            <w:r w:rsidRPr="37D35C3F" w:rsidR="119DABBB">
              <w:rPr>
                <w:rFonts w:ascii="Arial" w:hAnsi="Arial" w:cs="Arial"/>
                <w:color w:val="auto"/>
                <w:sz w:val="24"/>
                <w:szCs w:val="24"/>
                <w:lang w:val="en-GB"/>
              </w:rPr>
              <w:t xml:space="preserve">and </w:t>
            </w:r>
            <w:r w:rsidRPr="37D35C3F" w:rsidR="119DABBB">
              <w:rPr>
                <w:rFonts w:ascii="Arial" w:hAnsi="Arial" w:cs="Arial"/>
                <w:color w:val="auto"/>
                <w:sz w:val="24"/>
                <w:szCs w:val="24"/>
                <w:lang w:val="en-GB"/>
              </w:rPr>
              <w:t>Named Allergy and Anaphylaxis Leads</w:t>
            </w:r>
          </w:p>
        </w:tc>
        <w:tc>
          <w:tcPr>
            <w:tcW w:w="591" w:type="dxa"/>
            <w:tcMar/>
            <w:hideMark/>
          </w:tcPr>
          <w:p w:rsidRPr="00DB4013" w:rsidR="00DB4013" w:rsidP="37D35C3F" w:rsidRDefault="00DB4013" w14:paraId="1A28E40F" w14:textId="02DE3E5B">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5</w:t>
            </w:r>
          </w:p>
        </w:tc>
      </w:tr>
      <w:tr w:rsidRPr="00A21752" w:rsidR="00DB4013" w:rsidTr="37D35C3F" w14:paraId="6DC0023F" w14:textId="77777777">
        <w:trPr>
          <w:tblCellSpacing w:w="15" w:type="dxa"/>
        </w:trPr>
        <w:tc>
          <w:tcPr>
            <w:tcW w:w="8035" w:type="dxa"/>
            <w:gridSpan w:val="2"/>
            <w:tcMar/>
            <w:vAlign w:val="center"/>
            <w:hideMark/>
          </w:tcPr>
          <w:p w:rsidRPr="0038672B" w:rsidR="00DB4013" w:rsidP="37D35C3F" w:rsidRDefault="00DB4013" w14:paraId="7DBFC65A"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1. Statement of Intent</w:t>
            </w:r>
          </w:p>
        </w:tc>
        <w:tc>
          <w:tcPr>
            <w:tcW w:w="591" w:type="dxa"/>
            <w:tcMar/>
            <w:hideMark/>
          </w:tcPr>
          <w:p w:rsidRPr="00DB4013" w:rsidR="00DB4013" w:rsidP="37D35C3F" w:rsidRDefault="00DB4013" w14:paraId="41297025" w14:textId="6FD2C6F0">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6</w:t>
            </w:r>
          </w:p>
        </w:tc>
      </w:tr>
      <w:tr w:rsidRPr="00A21752" w:rsidR="00DB4013" w:rsidTr="37D35C3F" w14:paraId="302E5294" w14:textId="77777777">
        <w:trPr>
          <w:tblCellSpacing w:w="15" w:type="dxa"/>
        </w:trPr>
        <w:tc>
          <w:tcPr>
            <w:tcW w:w="8035" w:type="dxa"/>
            <w:gridSpan w:val="2"/>
            <w:tcMar/>
            <w:vAlign w:val="center"/>
            <w:hideMark/>
          </w:tcPr>
          <w:p w:rsidRPr="0038672B" w:rsidR="00DB4013" w:rsidP="37D35C3F" w:rsidRDefault="00DB4013" w14:paraId="7A231DAC"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2. Scope</w:t>
            </w:r>
          </w:p>
        </w:tc>
        <w:tc>
          <w:tcPr>
            <w:tcW w:w="591" w:type="dxa"/>
            <w:tcMar/>
            <w:hideMark/>
          </w:tcPr>
          <w:p w:rsidRPr="00DB4013" w:rsidR="00DB4013" w:rsidP="37D35C3F" w:rsidRDefault="00DB4013" w14:paraId="30365A2E" w14:textId="5FD6E621">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7</w:t>
            </w:r>
          </w:p>
        </w:tc>
      </w:tr>
      <w:tr w:rsidRPr="00A21752" w:rsidR="00DB4013" w:rsidTr="37D35C3F" w14:paraId="47FD4552" w14:textId="77777777">
        <w:trPr>
          <w:tblCellSpacing w:w="15" w:type="dxa"/>
        </w:trPr>
        <w:tc>
          <w:tcPr>
            <w:tcW w:w="8035" w:type="dxa"/>
            <w:gridSpan w:val="2"/>
            <w:tcMar/>
            <w:vAlign w:val="center"/>
            <w:hideMark/>
          </w:tcPr>
          <w:p w:rsidRPr="0038672B" w:rsidR="00DB4013" w:rsidP="37D35C3F" w:rsidRDefault="00DB4013" w14:paraId="7C22D69F"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3. Legal and Guidance Context</w:t>
            </w:r>
          </w:p>
        </w:tc>
        <w:tc>
          <w:tcPr>
            <w:tcW w:w="591" w:type="dxa"/>
            <w:tcMar/>
            <w:hideMark/>
          </w:tcPr>
          <w:p w:rsidRPr="00DB4013" w:rsidR="00DB4013" w:rsidP="37D35C3F" w:rsidRDefault="00DB4013" w14:paraId="5F909050" w14:textId="19D1A336">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7</w:t>
            </w:r>
          </w:p>
        </w:tc>
      </w:tr>
      <w:tr w:rsidRPr="00A21752" w:rsidR="00DB4013" w:rsidTr="37D35C3F" w14:paraId="23EFA870" w14:textId="77777777">
        <w:trPr>
          <w:tblCellSpacing w:w="15" w:type="dxa"/>
        </w:trPr>
        <w:tc>
          <w:tcPr>
            <w:tcW w:w="8035" w:type="dxa"/>
            <w:gridSpan w:val="2"/>
            <w:tcMar/>
            <w:vAlign w:val="center"/>
            <w:hideMark/>
          </w:tcPr>
          <w:p w:rsidRPr="0038672B" w:rsidR="00DB4013" w:rsidP="37D35C3F" w:rsidRDefault="00DB4013" w14:paraId="5A594915"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4. Whole-School Allergy Safety Principles</w:t>
            </w:r>
          </w:p>
        </w:tc>
        <w:tc>
          <w:tcPr>
            <w:tcW w:w="591" w:type="dxa"/>
            <w:tcMar/>
            <w:hideMark/>
          </w:tcPr>
          <w:p w:rsidRPr="00DB4013" w:rsidR="00DB4013" w:rsidP="37D35C3F" w:rsidRDefault="00DB4013" w14:paraId="2E5592DB" w14:textId="31C9AC35">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8</w:t>
            </w:r>
          </w:p>
        </w:tc>
      </w:tr>
      <w:tr w:rsidRPr="00A21752" w:rsidR="00DB4013" w:rsidTr="37D35C3F" w14:paraId="60134383" w14:textId="77777777">
        <w:trPr>
          <w:tblCellSpacing w:w="15" w:type="dxa"/>
        </w:trPr>
        <w:tc>
          <w:tcPr>
            <w:tcW w:w="8035" w:type="dxa"/>
            <w:gridSpan w:val="2"/>
            <w:tcMar/>
            <w:vAlign w:val="center"/>
            <w:hideMark/>
          </w:tcPr>
          <w:p w:rsidRPr="0038672B" w:rsidR="00DB4013" w:rsidP="37D35C3F" w:rsidRDefault="00DB4013" w14:paraId="3C1D921A"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5. Roles and Responsibilities</w:t>
            </w:r>
          </w:p>
        </w:tc>
        <w:tc>
          <w:tcPr>
            <w:tcW w:w="591" w:type="dxa"/>
            <w:tcMar/>
            <w:hideMark/>
          </w:tcPr>
          <w:p w:rsidRPr="00DB4013" w:rsidR="00DB4013" w:rsidP="37D35C3F" w:rsidRDefault="00DB4013" w14:paraId="557AB8E0" w14:textId="56819BFC">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8</w:t>
            </w:r>
          </w:p>
        </w:tc>
      </w:tr>
      <w:tr w:rsidRPr="00A21752" w:rsidR="00DB4013" w:rsidTr="37D35C3F" w14:paraId="4A96C47C" w14:textId="77777777">
        <w:trPr>
          <w:gridBefore w:val="1"/>
          <w:wBefore w:w="630" w:type="dxa"/>
          <w:tblCellSpacing w:w="15" w:type="dxa"/>
        </w:trPr>
        <w:tc>
          <w:tcPr>
            <w:tcW w:w="7375" w:type="dxa"/>
            <w:tcMar/>
            <w:vAlign w:val="center"/>
            <w:hideMark/>
          </w:tcPr>
          <w:p w:rsidRPr="00A21752" w:rsidR="00DB4013" w:rsidP="37D35C3F" w:rsidRDefault="00DB4013" w14:paraId="5E11E622"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5.1 Governing Body or Trust Board</w:t>
            </w:r>
          </w:p>
        </w:tc>
        <w:tc>
          <w:tcPr>
            <w:tcW w:w="591" w:type="dxa"/>
            <w:tcMar/>
            <w:hideMark/>
          </w:tcPr>
          <w:p w:rsidRPr="00DB4013" w:rsidR="00DB4013" w:rsidP="37D35C3F" w:rsidRDefault="00DB4013" w14:paraId="6FB6959E" w14:textId="42AD64BA">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8</w:t>
            </w:r>
          </w:p>
        </w:tc>
      </w:tr>
      <w:tr w:rsidRPr="00A21752" w:rsidR="00DB4013" w:rsidTr="37D35C3F" w14:paraId="6037493C" w14:textId="77777777">
        <w:trPr>
          <w:gridBefore w:val="1"/>
          <w:wBefore w:w="630" w:type="dxa"/>
          <w:tblCellSpacing w:w="15" w:type="dxa"/>
        </w:trPr>
        <w:tc>
          <w:tcPr>
            <w:tcW w:w="7375" w:type="dxa"/>
            <w:tcMar/>
            <w:vAlign w:val="center"/>
            <w:hideMark/>
          </w:tcPr>
          <w:p w:rsidRPr="00A21752" w:rsidR="00DB4013" w:rsidP="37D35C3F" w:rsidRDefault="00DB4013" w14:paraId="14FCAD14"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5.2 Headteacher or Principal</w:t>
            </w:r>
          </w:p>
        </w:tc>
        <w:tc>
          <w:tcPr>
            <w:tcW w:w="591" w:type="dxa"/>
            <w:tcMar/>
            <w:hideMark/>
          </w:tcPr>
          <w:p w:rsidRPr="00DB4013" w:rsidR="00DB4013" w:rsidP="37D35C3F" w:rsidRDefault="00DB4013" w14:paraId="3C889E8D" w14:textId="7F2411FE">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9</w:t>
            </w:r>
          </w:p>
        </w:tc>
      </w:tr>
      <w:tr w:rsidRPr="00A21752" w:rsidR="00DB4013" w:rsidTr="37D35C3F" w14:paraId="227B006F" w14:textId="77777777">
        <w:trPr>
          <w:gridBefore w:val="1"/>
          <w:wBefore w:w="630" w:type="dxa"/>
          <w:tblCellSpacing w:w="15" w:type="dxa"/>
        </w:trPr>
        <w:tc>
          <w:tcPr>
            <w:tcW w:w="7375" w:type="dxa"/>
            <w:tcMar/>
            <w:vAlign w:val="center"/>
            <w:hideMark/>
          </w:tcPr>
          <w:p w:rsidRPr="00A21752" w:rsidR="00DB4013" w:rsidP="37D35C3F" w:rsidRDefault="00DB4013" w14:paraId="44015D9C"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5.3 Named Allergy and Anaphylaxis Leads or Medical Needs Lead</w:t>
            </w:r>
          </w:p>
        </w:tc>
        <w:tc>
          <w:tcPr>
            <w:tcW w:w="591" w:type="dxa"/>
            <w:tcMar/>
            <w:hideMark/>
          </w:tcPr>
          <w:p w:rsidRPr="00DB4013" w:rsidR="00DB4013" w:rsidP="37D35C3F" w:rsidRDefault="00DB4013" w14:paraId="03710936" w14:textId="3226F773">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9</w:t>
            </w:r>
          </w:p>
        </w:tc>
      </w:tr>
      <w:tr w:rsidRPr="00A21752" w:rsidR="00DB4013" w:rsidTr="37D35C3F" w14:paraId="59A1D1B1" w14:textId="77777777">
        <w:trPr>
          <w:gridBefore w:val="1"/>
          <w:wBefore w:w="630" w:type="dxa"/>
          <w:tblCellSpacing w:w="15" w:type="dxa"/>
        </w:trPr>
        <w:tc>
          <w:tcPr>
            <w:tcW w:w="7375" w:type="dxa"/>
            <w:tcMar/>
            <w:vAlign w:val="center"/>
            <w:hideMark/>
          </w:tcPr>
          <w:p w:rsidRPr="00A21752" w:rsidR="00DB4013" w:rsidP="37D35C3F" w:rsidRDefault="00DB4013" w14:paraId="63CC756B"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5.4 All Staff</w:t>
            </w:r>
          </w:p>
        </w:tc>
        <w:tc>
          <w:tcPr>
            <w:tcW w:w="591" w:type="dxa"/>
            <w:tcMar/>
            <w:hideMark/>
          </w:tcPr>
          <w:p w:rsidRPr="00DB4013" w:rsidR="00DB4013" w:rsidP="37D35C3F" w:rsidRDefault="00DB4013" w14:paraId="35C17492" w14:textId="55A262EE">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9</w:t>
            </w:r>
          </w:p>
        </w:tc>
      </w:tr>
      <w:tr w:rsidRPr="00A21752" w:rsidR="00DB4013" w:rsidTr="37D35C3F" w14:paraId="07723A50" w14:textId="77777777">
        <w:trPr>
          <w:gridBefore w:val="1"/>
          <w:wBefore w:w="630" w:type="dxa"/>
          <w:tblCellSpacing w:w="15" w:type="dxa"/>
        </w:trPr>
        <w:tc>
          <w:tcPr>
            <w:tcW w:w="7375" w:type="dxa"/>
            <w:tcMar/>
            <w:vAlign w:val="center"/>
            <w:hideMark/>
          </w:tcPr>
          <w:p w:rsidRPr="00A21752" w:rsidR="00DB4013" w:rsidP="37D35C3F" w:rsidRDefault="00DB4013" w14:paraId="2FF6462C"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5.5 Catering Provider or Catering Staff</w:t>
            </w:r>
          </w:p>
        </w:tc>
        <w:tc>
          <w:tcPr>
            <w:tcW w:w="591" w:type="dxa"/>
            <w:tcMar/>
            <w:hideMark/>
          </w:tcPr>
          <w:p w:rsidRPr="00DB4013" w:rsidR="00DB4013" w:rsidP="37D35C3F" w:rsidRDefault="00DB4013" w14:paraId="15EEDBC8" w14:textId="6C881D60">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10</w:t>
            </w:r>
          </w:p>
        </w:tc>
      </w:tr>
      <w:tr w:rsidRPr="00A21752" w:rsidR="00DB4013" w:rsidTr="37D35C3F" w14:paraId="6A598108" w14:textId="77777777">
        <w:trPr>
          <w:gridBefore w:val="1"/>
          <w:wBefore w:w="630" w:type="dxa"/>
          <w:tblCellSpacing w:w="15" w:type="dxa"/>
        </w:trPr>
        <w:tc>
          <w:tcPr>
            <w:tcW w:w="7375" w:type="dxa"/>
            <w:tcMar/>
            <w:vAlign w:val="center"/>
            <w:hideMark/>
          </w:tcPr>
          <w:p w:rsidRPr="00A21752" w:rsidR="00DB4013" w:rsidP="37D35C3F" w:rsidRDefault="00DB4013" w14:paraId="4433BA72"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5.6 Parents and Carers</w:t>
            </w:r>
          </w:p>
        </w:tc>
        <w:tc>
          <w:tcPr>
            <w:tcW w:w="591" w:type="dxa"/>
            <w:tcMar/>
            <w:hideMark/>
          </w:tcPr>
          <w:p w:rsidRPr="00DB4013" w:rsidR="00DB4013" w:rsidP="37D35C3F" w:rsidRDefault="00DB4013" w14:paraId="0F8487C6" w14:textId="58C951F2">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10</w:t>
            </w:r>
          </w:p>
        </w:tc>
      </w:tr>
      <w:tr w:rsidRPr="00A21752" w:rsidR="00DB4013" w:rsidTr="37D35C3F" w14:paraId="3CCC2CDE" w14:textId="77777777">
        <w:trPr>
          <w:gridBefore w:val="1"/>
          <w:wBefore w:w="630" w:type="dxa"/>
          <w:tblCellSpacing w:w="15" w:type="dxa"/>
        </w:trPr>
        <w:tc>
          <w:tcPr>
            <w:tcW w:w="7375" w:type="dxa"/>
            <w:tcMar/>
            <w:vAlign w:val="center"/>
            <w:hideMark/>
          </w:tcPr>
          <w:p w:rsidRPr="00A21752" w:rsidR="00DB4013" w:rsidP="37D35C3F" w:rsidRDefault="00DB4013" w14:paraId="06B80267"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5.7 Pupils</w:t>
            </w:r>
          </w:p>
        </w:tc>
        <w:tc>
          <w:tcPr>
            <w:tcW w:w="591" w:type="dxa"/>
            <w:tcMar/>
            <w:hideMark/>
          </w:tcPr>
          <w:p w:rsidRPr="00DB4013" w:rsidR="00DB4013" w:rsidP="37D35C3F" w:rsidRDefault="00DB4013" w14:paraId="5C40CB82" w14:textId="0BFC01FD">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11</w:t>
            </w:r>
          </w:p>
        </w:tc>
      </w:tr>
      <w:tr w:rsidRPr="00A21752" w:rsidR="00DB4013" w:rsidTr="37D35C3F" w14:paraId="0F859B0D" w14:textId="77777777">
        <w:trPr>
          <w:tblCellSpacing w:w="15" w:type="dxa"/>
        </w:trPr>
        <w:tc>
          <w:tcPr>
            <w:tcW w:w="8035" w:type="dxa"/>
            <w:gridSpan w:val="2"/>
            <w:tcMar/>
            <w:vAlign w:val="center"/>
            <w:hideMark/>
          </w:tcPr>
          <w:p w:rsidRPr="0038672B" w:rsidR="00DB4013" w:rsidP="37D35C3F" w:rsidRDefault="00DB4013" w14:paraId="7FE2170A"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6. Identification of Pupils with Allergies</w:t>
            </w:r>
          </w:p>
        </w:tc>
        <w:tc>
          <w:tcPr>
            <w:tcW w:w="591" w:type="dxa"/>
            <w:tcMar/>
            <w:hideMark/>
          </w:tcPr>
          <w:p w:rsidRPr="00DB4013" w:rsidR="00DB4013" w:rsidP="37D35C3F" w:rsidRDefault="00DB4013" w14:paraId="1F9AC509" w14:textId="335565EC">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11</w:t>
            </w:r>
          </w:p>
        </w:tc>
      </w:tr>
      <w:tr w:rsidRPr="00A21752" w:rsidR="00DB4013" w:rsidTr="37D35C3F" w14:paraId="08B84109" w14:textId="77777777">
        <w:trPr>
          <w:tblCellSpacing w:w="15" w:type="dxa"/>
        </w:trPr>
        <w:tc>
          <w:tcPr>
            <w:tcW w:w="8035" w:type="dxa"/>
            <w:gridSpan w:val="2"/>
            <w:tcMar/>
            <w:vAlign w:val="center"/>
            <w:hideMark/>
          </w:tcPr>
          <w:p w:rsidRPr="0038672B" w:rsidR="00DB4013" w:rsidP="37D35C3F" w:rsidRDefault="00DB4013" w14:paraId="1399FEB8"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7. Allergy Action Plans and Individual Healthcare Plans</w:t>
            </w:r>
          </w:p>
        </w:tc>
        <w:tc>
          <w:tcPr>
            <w:tcW w:w="591" w:type="dxa"/>
            <w:tcMar/>
            <w:hideMark/>
          </w:tcPr>
          <w:p w:rsidRPr="00DB4013" w:rsidR="00DB4013" w:rsidP="37D35C3F" w:rsidRDefault="00DB4013" w14:paraId="15CD86C7" w14:textId="598AB445">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11</w:t>
            </w:r>
          </w:p>
        </w:tc>
      </w:tr>
      <w:tr w:rsidRPr="00A21752" w:rsidR="00DB4013" w:rsidTr="37D35C3F" w14:paraId="195A9A57" w14:textId="77777777">
        <w:trPr>
          <w:tblCellSpacing w:w="15" w:type="dxa"/>
        </w:trPr>
        <w:tc>
          <w:tcPr>
            <w:tcW w:w="8035" w:type="dxa"/>
            <w:gridSpan w:val="2"/>
            <w:tcMar/>
            <w:vAlign w:val="center"/>
            <w:hideMark/>
          </w:tcPr>
          <w:p w:rsidRPr="0038672B" w:rsidR="00DB4013" w:rsidP="37D35C3F" w:rsidRDefault="00DB4013" w14:paraId="1FA3A75A"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8. Individual Allergy Risk Assessment</w:t>
            </w:r>
          </w:p>
        </w:tc>
        <w:tc>
          <w:tcPr>
            <w:tcW w:w="591" w:type="dxa"/>
            <w:tcMar/>
            <w:hideMark/>
          </w:tcPr>
          <w:p w:rsidRPr="00DB4013" w:rsidR="00DB4013" w:rsidP="37D35C3F" w:rsidRDefault="00DB4013" w14:paraId="6457DA32" w14:textId="6692826A">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12</w:t>
            </w:r>
          </w:p>
        </w:tc>
      </w:tr>
      <w:tr w:rsidRPr="00A21752" w:rsidR="00DB4013" w:rsidTr="37D35C3F" w14:paraId="2A9201D3" w14:textId="77777777">
        <w:trPr>
          <w:tblCellSpacing w:w="15" w:type="dxa"/>
        </w:trPr>
        <w:tc>
          <w:tcPr>
            <w:tcW w:w="8035" w:type="dxa"/>
            <w:gridSpan w:val="2"/>
            <w:tcMar/>
            <w:vAlign w:val="center"/>
            <w:hideMark/>
          </w:tcPr>
          <w:p w:rsidRPr="0038672B" w:rsidR="00DB4013" w:rsidP="37D35C3F" w:rsidRDefault="00DB4013" w14:paraId="43DFBDD8"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9. Emergency Response to Allergic Reaction and Anaphylaxis</w:t>
            </w:r>
          </w:p>
        </w:tc>
        <w:tc>
          <w:tcPr>
            <w:tcW w:w="591" w:type="dxa"/>
            <w:tcMar/>
            <w:hideMark/>
          </w:tcPr>
          <w:p w:rsidRPr="00DB4013" w:rsidR="00DB4013" w:rsidP="37D35C3F" w:rsidRDefault="00DB4013" w14:paraId="7982D0D2" w14:textId="6BF86908">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13</w:t>
            </w:r>
          </w:p>
        </w:tc>
      </w:tr>
      <w:tr w:rsidRPr="00A21752" w:rsidR="00DB4013" w:rsidTr="37D35C3F" w14:paraId="6088C7CB" w14:textId="77777777">
        <w:trPr>
          <w:tblCellSpacing w:w="15" w:type="dxa"/>
        </w:trPr>
        <w:tc>
          <w:tcPr>
            <w:tcW w:w="8035" w:type="dxa"/>
            <w:gridSpan w:val="2"/>
            <w:tcMar/>
            <w:vAlign w:val="center"/>
            <w:hideMark/>
          </w:tcPr>
          <w:p w:rsidRPr="0038672B" w:rsidR="00DB4013" w:rsidP="37D35C3F" w:rsidRDefault="00DB4013" w14:paraId="3E5CC71B"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10. Supply, Storage and Care of Medication</w:t>
            </w:r>
          </w:p>
        </w:tc>
        <w:tc>
          <w:tcPr>
            <w:tcW w:w="591" w:type="dxa"/>
            <w:tcMar/>
            <w:hideMark/>
          </w:tcPr>
          <w:p w:rsidRPr="00DB4013" w:rsidR="00DB4013" w:rsidP="37D35C3F" w:rsidRDefault="00DB4013" w14:paraId="084F2D48" w14:textId="0CEDC0D6">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14</w:t>
            </w:r>
          </w:p>
        </w:tc>
      </w:tr>
      <w:tr w:rsidRPr="00A21752" w:rsidR="00DB4013" w:rsidTr="37D35C3F" w14:paraId="1307F4B2" w14:textId="77777777">
        <w:trPr>
          <w:tblCellSpacing w:w="15" w:type="dxa"/>
        </w:trPr>
        <w:tc>
          <w:tcPr>
            <w:tcW w:w="8035" w:type="dxa"/>
            <w:gridSpan w:val="2"/>
            <w:tcMar/>
            <w:vAlign w:val="center"/>
            <w:hideMark/>
          </w:tcPr>
          <w:p w:rsidRPr="0038672B" w:rsidR="00DB4013" w:rsidP="37D35C3F" w:rsidRDefault="00DB4013" w14:paraId="7A65B020"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11. Spare Adrenaline Auto-Injectors</w:t>
            </w:r>
          </w:p>
        </w:tc>
        <w:tc>
          <w:tcPr>
            <w:tcW w:w="591" w:type="dxa"/>
            <w:tcMar/>
            <w:hideMark/>
          </w:tcPr>
          <w:p w:rsidRPr="00DB4013" w:rsidR="00DB4013" w:rsidP="37D35C3F" w:rsidRDefault="00DB4013" w14:paraId="2A22C5B8" w14:textId="0E755656">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15</w:t>
            </w:r>
          </w:p>
        </w:tc>
      </w:tr>
      <w:tr w:rsidRPr="00A21752" w:rsidR="00DB4013" w:rsidTr="37D35C3F" w14:paraId="32FD4FB0" w14:textId="77777777">
        <w:trPr>
          <w:tblCellSpacing w:w="15" w:type="dxa"/>
        </w:trPr>
        <w:tc>
          <w:tcPr>
            <w:tcW w:w="8035" w:type="dxa"/>
            <w:gridSpan w:val="2"/>
            <w:tcMar/>
            <w:vAlign w:val="center"/>
            <w:hideMark/>
          </w:tcPr>
          <w:p w:rsidRPr="0038672B" w:rsidR="00DB4013" w:rsidP="37D35C3F" w:rsidRDefault="00DB4013" w14:paraId="334303C4"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12. Training and Awareness</w:t>
            </w:r>
          </w:p>
        </w:tc>
        <w:tc>
          <w:tcPr>
            <w:tcW w:w="591" w:type="dxa"/>
            <w:tcMar/>
            <w:hideMark/>
          </w:tcPr>
          <w:p w:rsidRPr="00DB4013" w:rsidR="00DB4013" w:rsidP="37D35C3F" w:rsidRDefault="00DB4013" w14:paraId="2CF44B66" w14:textId="6516FFD9">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16</w:t>
            </w:r>
          </w:p>
        </w:tc>
      </w:tr>
      <w:tr w:rsidRPr="00A21752" w:rsidR="00DB4013" w:rsidTr="37D35C3F" w14:paraId="13E9EBCE" w14:textId="77777777">
        <w:trPr>
          <w:tblCellSpacing w:w="15" w:type="dxa"/>
        </w:trPr>
        <w:tc>
          <w:tcPr>
            <w:tcW w:w="8035" w:type="dxa"/>
            <w:gridSpan w:val="2"/>
            <w:tcMar/>
            <w:vAlign w:val="center"/>
            <w:hideMark/>
          </w:tcPr>
          <w:p w:rsidRPr="0038672B" w:rsidR="00DB4013" w:rsidP="37D35C3F" w:rsidRDefault="00DB4013" w14:paraId="3AE6DF4A"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13. Catering and Food Allergen Management</w:t>
            </w:r>
          </w:p>
        </w:tc>
        <w:tc>
          <w:tcPr>
            <w:tcW w:w="591" w:type="dxa"/>
            <w:tcMar/>
            <w:hideMark/>
          </w:tcPr>
          <w:p w:rsidRPr="00DB4013" w:rsidR="00DB4013" w:rsidP="37D35C3F" w:rsidRDefault="00DB4013" w14:paraId="4610F73E" w14:textId="557320C7">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18</w:t>
            </w:r>
          </w:p>
        </w:tc>
      </w:tr>
      <w:tr w:rsidRPr="00A21752" w:rsidR="00DB4013" w:rsidTr="37D35C3F" w14:paraId="09624214" w14:textId="77777777">
        <w:trPr>
          <w:tblCellSpacing w:w="15" w:type="dxa"/>
        </w:trPr>
        <w:tc>
          <w:tcPr>
            <w:tcW w:w="8035" w:type="dxa"/>
            <w:gridSpan w:val="2"/>
            <w:tcMar/>
            <w:vAlign w:val="center"/>
            <w:hideMark/>
          </w:tcPr>
          <w:p w:rsidRPr="0038672B" w:rsidR="00DB4013" w:rsidP="37D35C3F" w:rsidRDefault="00DB4013" w14:paraId="1007EEFE"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14. Educational Visits, Clubs and School Activities</w:t>
            </w:r>
          </w:p>
        </w:tc>
        <w:tc>
          <w:tcPr>
            <w:tcW w:w="591" w:type="dxa"/>
            <w:tcMar/>
            <w:hideMark/>
          </w:tcPr>
          <w:p w:rsidRPr="00DB4013" w:rsidR="00DB4013" w:rsidP="37D35C3F" w:rsidRDefault="00DB4013" w14:paraId="1B683FBF" w14:textId="47E48614">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18</w:t>
            </w:r>
          </w:p>
        </w:tc>
      </w:tr>
      <w:tr w:rsidRPr="00A21752" w:rsidR="00DB4013" w:rsidTr="37D35C3F" w14:paraId="19EB01F8" w14:textId="77777777">
        <w:trPr>
          <w:tblCellSpacing w:w="15" w:type="dxa"/>
        </w:trPr>
        <w:tc>
          <w:tcPr>
            <w:tcW w:w="8035" w:type="dxa"/>
            <w:gridSpan w:val="2"/>
            <w:tcMar/>
            <w:vAlign w:val="center"/>
            <w:hideMark/>
          </w:tcPr>
          <w:p w:rsidRPr="0038672B" w:rsidR="00DB4013" w:rsidP="37D35C3F" w:rsidRDefault="00DB4013" w14:paraId="198DBBE1"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15. Allergy Awareness, Nut Bans and Allergen Restrictions</w:t>
            </w:r>
          </w:p>
        </w:tc>
        <w:tc>
          <w:tcPr>
            <w:tcW w:w="591" w:type="dxa"/>
            <w:tcMar/>
            <w:hideMark/>
          </w:tcPr>
          <w:p w:rsidRPr="00DB4013" w:rsidR="00DB4013" w:rsidP="37D35C3F" w:rsidRDefault="00DB4013" w14:paraId="6D6D6C92" w14:textId="7001AA58">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19</w:t>
            </w:r>
          </w:p>
        </w:tc>
      </w:tr>
      <w:tr w:rsidRPr="00A21752" w:rsidR="00DB4013" w:rsidTr="37D35C3F" w14:paraId="467B9DE5" w14:textId="77777777">
        <w:trPr>
          <w:tblCellSpacing w:w="15" w:type="dxa"/>
        </w:trPr>
        <w:tc>
          <w:tcPr>
            <w:tcW w:w="8035" w:type="dxa"/>
            <w:gridSpan w:val="2"/>
            <w:tcMar/>
            <w:vAlign w:val="center"/>
            <w:hideMark/>
          </w:tcPr>
          <w:p w:rsidRPr="0038672B" w:rsidR="00DB4013" w:rsidP="37D35C3F" w:rsidRDefault="00DB4013" w14:paraId="67B75458" w14:textId="77777777">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16. Inclusion, Equality, Safeguarding and Bullying</w:t>
            </w:r>
          </w:p>
        </w:tc>
        <w:tc>
          <w:tcPr>
            <w:tcW w:w="591" w:type="dxa"/>
            <w:tcMar/>
            <w:hideMark/>
          </w:tcPr>
          <w:p w:rsidRPr="00DB4013" w:rsidR="00DB4013" w:rsidP="37D35C3F" w:rsidRDefault="00DB4013" w14:paraId="7F2B9838" w14:textId="584AF685">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19</w:t>
            </w:r>
          </w:p>
        </w:tc>
      </w:tr>
      <w:tr w:rsidRPr="00A21752" w:rsidR="00DB4013" w:rsidTr="37D35C3F" w14:paraId="0CC5D32B" w14:textId="77777777">
        <w:trPr>
          <w:tblCellSpacing w:w="15" w:type="dxa"/>
        </w:trPr>
        <w:tc>
          <w:tcPr>
            <w:tcW w:w="8035" w:type="dxa"/>
            <w:gridSpan w:val="2"/>
            <w:tcMar/>
            <w:vAlign w:val="center"/>
            <w:hideMark/>
          </w:tcPr>
          <w:p w:rsidRPr="0038672B" w:rsidR="00DB4013" w:rsidP="37D35C3F" w:rsidRDefault="00DB4013" w14:paraId="2FA08104" w14:textId="48BDFB04">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17. Wellbeing</w:t>
            </w:r>
          </w:p>
        </w:tc>
        <w:tc>
          <w:tcPr>
            <w:tcW w:w="591" w:type="dxa"/>
            <w:tcMar/>
            <w:hideMark/>
          </w:tcPr>
          <w:p w:rsidRPr="00DB4013" w:rsidR="00DB4013" w:rsidP="37D35C3F" w:rsidRDefault="00DB4013" w14:paraId="3B823206" w14:textId="0BA295FC">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20</w:t>
            </w:r>
          </w:p>
        </w:tc>
      </w:tr>
      <w:tr w:rsidRPr="00A21752" w:rsidR="00DB4013" w:rsidTr="37D35C3F" w14:paraId="09ECB7E1" w14:textId="77777777">
        <w:trPr>
          <w:tblCellSpacing w:w="15" w:type="dxa"/>
        </w:trPr>
        <w:tc>
          <w:tcPr>
            <w:tcW w:w="8035" w:type="dxa"/>
            <w:gridSpan w:val="2"/>
            <w:tcMar/>
            <w:vAlign w:val="center"/>
            <w:hideMark/>
          </w:tcPr>
          <w:p w:rsidRPr="0038672B" w:rsidR="00DB4013" w:rsidP="37D35C3F" w:rsidRDefault="00DB4013" w14:paraId="0F653648" w14:textId="104702C9">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18. Incident Reporting, Near Misses and Learning</w:t>
            </w:r>
          </w:p>
        </w:tc>
        <w:tc>
          <w:tcPr>
            <w:tcW w:w="591" w:type="dxa"/>
            <w:tcMar/>
            <w:hideMark/>
          </w:tcPr>
          <w:p w:rsidRPr="00DB4013" w:rsidR="00DB4013" w:rsidP="37D35C3F" w:rsidRDefault="00DB4013" w14:paraId="38E024B3" w14:textId="530AA971">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20</w:t>
            </w:r>
          </w:p>
        </w:tc>
      </w:tr>
      <w:tr w:rsidRPr="00A21752" w:rsidR="00DB4013" w:rsidTr="37D35C3F" w14:paraId="51AED79A" w14:textId="77777777">
        <w:trPr>
          <w:tblCellSpacing w:w="15" w:type="dxa"/>
        </w:trPr>
        <w:tc>
          <w:tcPr>
            <w:tcW w:w="8035" w:type="dxa"/>
            <w:gridSpan w:val="2"/>
            <w:tcMar/>
            <w:vAlign w:val="center"/>
            <w:hideMark/>
          </w:tcPr>
          <w:p w:rsidRPr="0038672B" w:rsidR="00DB4013" w:rsidP="37D35C3F" w:rsidRDefault="00DB4013" w14:paraId="5956E5D7" w14:textId="09CC5684">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19. Communication with Parents, Pupils and Staff</w:t>
            </w:r>
          </w:p>
        </w:tc>
        <w:tc>
          <w:tcPr>
            <w:tcW w:w="591" w:type="dxa"/>
            <w:tcMar/>
            <w:hideMark/>
          </w:tcPr>
          <w:p w:rsidRPr="00DB4013" w:rsidR="00DB4013" w:rsidP="37D35C3F" w:rsidRDefault="00DB4013" w14:paraId="75BC3E4C" w14:textId="0A52CFD0">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21</w:t>
            </w:r>
          </w:p>
        </w:tc>
      </w:tr>
      <w:tr w:rsidRPr="00A21752" w:rsidR="00DB4013" w:rsidTr="37D35C3F" w14:paraId="6A422B63" w14:textId="77777777">
        <w:trPr>
          <w:tblCellSpacing w:w="15" w:type="dxa"/>
        </w:trPr>
        <w:tc>
          <w:tcPr>
            <w:tcW w:w="8035" w:type="dxa"/>
            <w:gridSpan w:val="2"/>
            <w:tcMar/>
            <w:vAlign w:val="center"/>
            <w:hideMark/>
          </w:tcPr>
          <w:p w:rsidRPr="0038672B" w:rsidR="00DB4013" w:rsidP="37D35C3F" w:rsidRDefault="00DB4013" w14:paraId="3B9221A9" w14:textId="579BB2D4">
            <w:pPr>
              <w:pStyle w:val="NoSpacing"/>
              <w:spacing w:line="276" w:lineRule="auto"/>
              <w:rPr>
                <w:rFonts w:ascii="Arial" w:hAnsi="Arial" w:cs="Arial"/>
                <w:color w:val="auto"/>
                <w:sz w:val="24"/>
                <w:szCs w:val="24"/>
                <w:lang w:val="en-GB"/>
              </w:rPr>
            </w:pPr>
            <w:r w:rsidRPr="37D35C3F" w:rsidR="119DABBB">
              <w:rPr>
                <w:rFonts w:ascii="Arial" w:hAnsi="Arial" w:cs="Arial"/>
                <w:color w:val="auto"/>
                <w:sz w:val="24"/>
                <w:szCs w:val="24"/>
                <w:lang w:val="en-GB"/>
              </w:rPr>
              <w:t>20. Monitoring and Review</w:t>
            </w:r>
          </w:p>
        </w:tc>
        <w:tc>
          <w:tcPr>
            <w:tcW w:w="591" w:type="dxa"/>
            <w:tcMar/>
            <w:hideMark/>
          </w:tcPr>
          <w:p w:rsidRPr="00DB4013" w:rsidR="00DB4013" w:rsidP="37D35C3F" w:rsidRDefault="00DB4013" w14:paraId="70222DC1" w14:textId="2D7109FA">
            <w:pPr>
              <w:pStyle w:val="NoSpacing"/>
              <w:spacing w:line="276" w:lineRule="auto"/>
              <w:rPr>
                <w:rFonts w:ascii="Arial" w:hAnsi="Arial" w:cs="Arial"/>
                <w:color w:val="auto" w:themeColor="text1"/>
                <w:sz w:val="24"/>
                <w:szCs w:val="24"/>
                <w:lang w:val="en-GB"/>
              </w:rPr>
            </w:pPr>
            <w:r w:rsidRPr="37D35C3F" w:rsidR="119DABBB">
              <w:rPr>
                <w:rFonts w:ascii="Arial" w:hAnsi="Arial" w:eastAsia="MS Mincho" w:cs="Arial"/>
                <w:color w:val="auto"/>
              </w:rPr>
              <w:t>22</w:t>
            </w:r>
          </w:p>
        </w:tc>
      </w:tr>
      <w:tr w:rsidRPr="00D2432C" w:rsidR="007E2DAB" w:rsidTr="37D35C3F" w14:paraId="54F45C8B" w14:textId="77777777">
        <w:trPr>
          <w:tblCellSpacing w:w="15" w:type="dxa"/>
        </w:trPr>
        <w:tc>
          <w:tcPr>
            <w:tcW w:w="8035" w:type="dxa"/>
            <w:gridSpan w:val="2"/>
            <w:shd w:val="clear" w:color="auto" w:fill="E3F1ED" w:themeFill="accent3" w:themeFillTint="33"/>
            <w:tcMar/>
            <w:vAlign w:val="center"/>
          </w:tcPr>
          <w:p w:rsidRPr="0038672B" w:rsidR="007E2DAB" w:rsidP="37D35C3F" w:rsidRDefault="007E2DAB" w14:paraId="673840FC" w14:textId="77777777">
            <w:pPr>
              <w:pStyle w:val="NoSpacing"/>
              <w:rPr>
                <w:rFonts w:ascii="Arial" w:hAnsi="Arial" w:cs="Arial"/>
                <w:color w:val="auto"/>
                <w:sz w:val="4"/>
                <w:szCs w:val="4"/>
                <w:lang w:val="en-GB"/>
              </w:rPr>
            </w:pPr>
          </w:p>
        </w:tc>
        <w:tc>
          <w:tcPr>
            <w:tcW w:w="591" w:type="dxa"/>
            <w:shd w:val="clear" w:color="auto" w:fill="E3F1ED" w:themeFill="accent3" w:themeFillTint="33"/>
            <w:tcMar/>
            <w:vAlign w:val="center"/>
          </w:tcPr>
          <w:p w:rsidRPr="004F0A4E" w:rsidR="007E2DAB" w:rsidP="37D35C3F" w:rsidRDefault="007E2DAB" w14:paraId="7421EFAB" w14:textId="77777777">
            <w:pPr>
              <w:pStyle w:val="NoSpacing"/>
              <w:rPr>
                <w:rFonts w:ascii="Arial" w:hAnsi="Arial" w:cs="Arial"/>
                <w:color w:val="auto" w:themeColor="text1"/>
                <w:sz w:val="4"/>
                <w:szCs w:val="4"/>
                <w:lang w:val="en-GB"/>
              </w:rPr>
            </w:pPr>
          </w:p>
        </w:tc>
      </w:tr>
    </w:tbl>
    <w:p w:rsidR="006A576E" w:rsidP="37D35C3F" w:rsidRDefault="006A576E" w14:paraId="1DA39612" w14:textId="0219030C">
      <w:pPr>
        <w:spacing w:after="0"/>
        <w:rPr>
          <w:i w:val="1"/>
          <w:iCs w:val="1"/>
          <w:color w:val="auto"/>
        </w:rPr>
      </w:pPr>
      <w:r w:rsidRPr="37D35C3F">
        <w:rPr>
          <w:i w:val="1"/>
          <w:iCs w:val="1"/>
          <w:color w:val="auto"/>
        </w:rPr>
        <w:br w:type="page"/>
      </w:r>
    </w:p>
    <w:p w:rsidR="0018721C" w:rsidP="37D35C3F" w:rsidRDefault="0018721C" w14:paraId="63E6662B" w14:textId="3817490F">
      <w:pPr>
        <w:pStyle w:val="Heading1"/>
        <w:spacing w:line="360" w:lineRule="auto"/>
        <w:rPr>
          <w:rFonts w:ascii="Arial" w:hAnsi="Arial" w:eastAsia="Arial"/>
          <w:color w:val="auto"/>
        </w:rPr>
      </w:pPr>
      <w:r w:rsidRPr="37D35C3F" w:rsidR="0018721C">
        <w:rPr>
          <w:rFonts w:ascii="Arial" w:hAnsi="Arial" w:eastAsia="Arial"/>
          <w:color w:val="auto"/>
        </w:rPr>
        <w:t>Definitions</w:t>
      </w:r>
    </w:p>
    <w:tbl>
      <w:tblPr>
        <w:tblStyle w:val="TableGrid"/>
        <w:tblW w:w="0" w:type="auto"/>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Look w:val="04A0" w:firstRow="1" w:lastRow="0" w:firstColumn="1" w:lastColumn="0" w:noHBand="0" w:noVBand="1"/>
      </w:tblPr>
      <w:tblGrid>
        <w:gridCol w:w="4106"/>
        <w:gridCol w:w="5856"/>
      </w:tblGrid>
      <w:tr w:rsidR="0018721C" w:rsidTr="37D35C3F" w14:paraId="3948CA31" w14:textId="77777777">
        <w:trPr>
          <w:trHeight w:val="518"/>
        </w:trPr>
        <w:tc>
          <w:tcPr>
            <w:tcW w:w="4106" w:type="dxa"/>
            <w:shd w:val="clear" w:color="auto" w:fill="E3F1ED" w:themeFill="accent3" w:themeFillTint="33"/>
            <w:tcMar/>
            <w:vAlign w:val="center"/>
          </w:tcPr>
          <w:p w:rsidR="0018721C" w:rsidP="37D35C3F" w:rsidRDefault="0018721C" w14:paraId="18EA70FE" w14:textId="77777777">
            <w:pPr>
              <w:rPr>
                <w:b w:val="1"/>
                <w:bCs w:val="1"/>
                <w:color w:val="auto"/>
              </w:rPr>
            </w:pPr>
            <w:r w:rsidRPr="37D35C3F" w:rsidR="0018721C">
              <w:rPr>
                <w:b w:val="1"/>
                <w:bCs w:val="1"/>
                <w:color w:val="auto"/>
              </w:rPr>
              <w:t>Term</w:t>
            </w:r>
          </w:p>
        </w:tc>
        <w:tc>
          <w:tcPr>
            <w:tcW w:w="5856" w:type="dxa"/>
            <w:shd w:val="clear" w:color="auto" w:fill="E3F1ED" w:themeFill="accent3" w:themeFillTint="33"/>
            <w:tcMar/>
            <w:vAlign w:val="center"/>
          </w:tcPr>
          <w:p w:rsidR="0018721C" w:rsidP="37D35C3F" w:rsidRDefault="0018721C" w14:paraId="74FD6CEE" w14:textId="77777777">
            <w:pPr>
              <w:rPr>
                <w:b w:val="1"/>
                <w:bCs w:val="1"/>
                <w:color w:val="auto"/>
              </w:rPr>
            </w:pPr>
            <w:r w:rsidRPr="37D35C3F" w:rsidR="0018721C">
              <w:rPr>
                <w:b w:val="1"/>
                <w:bCs w:val="1"/>
                <w:color w:val="auto"/>
              </w:rPr>
              <w:t>Meaning</w:t>
            </w:r>
          </w:p>
        </w:tc>
      </w:tr>
      <w:tr w:rsidR="0018721C" w:rsidTr="37D35C3F" w14:paraId="07EBE9C3" w14:textId="77777777">
        <w:trPr>
          <w:trHeight w:val="881"/>
        </w:trPr>
        <w:tc>
          <w:tcPr>
            <w:tcW w:w="4106" w:type="dxa"/>
            <w:shd w:val="clear" w:color="auto" w:fill="E3F1ED" w:themeFill="accent3" w:themeFillTint="33"/>
            <w:tcMar/>
            <w:vAlign w:val="center"/>
          </w:tcPr>
          <w:p w:rsidRPr="001546A3" w:rsidR="0018721C" w:rsidP="37D35C3F" w:rsidRDefault="0018721C" w14:paraId="38818AA6" w14:textId="77777777">
            <w:pPr>
              <w:rPr>
                <w:color w:val="auto"/>
              </w:rPr>
            </w:pPr>
            <w:r w:rsidRPr="37D35C3F" w:rsidR="0018721C">
              <w:rPr>
                <w:color w:val="auto"/>
              </w:rPr>
              <w:t>Allergy</w:t>
            </w:r>
          </w:p>
        </w:tc>
        <w:tc>
          <w:tcPr>
            <w:tcW w:w="5856" w:type="dxa"/>
            <w:tcMar/>
            <w:vAlign w:val="center"/>
          </w:tcPr>
          <w:p w:rsidR="0018721C" w:rsidP="37D35C3F" w:rsidRDefault="0018721C" w14:paraId="5CB0DBC5" w14:textId="77777777">
            <w:pPr>
              <w:rPr>
                <w:color w:val="auto"/>
              </w:rPr>
            </w:pPr>
            <w:r w:rsidRPr="37D35C3F" w:rsidR="0018721C">
              <w:rPr>
                <w:color w:val="auto"/>
              </w:rPr>
              <w:t>An immune system reaction to a substance that is usually harmless. Symptoms may be mild, moderate or severe.</w:t>
            </w:r>
          </w:p>
        </w:tc>
      </w:tr>
      <w:tr w:rsidR="0018721C" w:rsidTr="37D35C3F" w14:paraId="6346B70F" w14:textId="77777777">
        <w:trPr>
          <w:trHeight w:val="1418"/>
        </w:trPr>
        <w:tc>
          <w:tcPr>
            <w:tcW w:w="4106" w:type="dxa"/>
            <w:shd w:val="clear" w:color="auto" w:fill="E3F1ED" w:themeFill="accent3" w:themeFillTint="33"/>
            <w:tcMar/>
            <w:vAlign w:val="center"/>
          </w:tcPr>
          <w:p w:rsidRPr="001546A3" w:rsidR="0018721C" w:rsidP="37D35C3F" w:rsidRDefault="0018721C" w14:paraId="0073A57A" w14:textId="17CAA273">
            <w:pPr>
              <w:rPr>
                <w:color w:val="auto"/>
              </w:rPr>
            </w:pPr>
            <w:r w:rsidRPr="37D35C3F" w:rsidR="0018721C">
              <w:rPr>
                <w:color w:val="auto"/>
              </w:rPr>
              <w:t>Allergen</w:t>
            </w:r>
          </w:p>
        </w:tc>
        <w:tc>
          <w:tcPr>
            <w:tcW w:w="5856" w:type="dxa"/>
            <w:tcMar/>
            <w:vAlign w:val="center"/>
          </w:tcPr>
          <w:p w:rsidR="0018721C" w:rsidP="37D35C3F" w:rsidRDefault="0018721C" w14:paraId="6F9FDF4E" w14:textId="51E56B45">
            <w:pPr>
              <w:rPr>
                <w:color w:val="auto"/>
              </w:rPr>
            </w:pPr>
            <w:r w:rsidRPr="37D35C3F" w:rsidR="0018721C">
              <w:rPr>
                <w:color w:val="auto"/>
              </w:rPr>
              <w:t>A substance that can trigger an allergic reaction. Common allergens include peanuts, tree nuts, milk, egg, sesame, fish, shellfish, soya, wheat, latex, insect venom, pollen, animal dander and some medicines.</w:t>
            </w:r>
          </w:p>
        </w:tc>
      </w:tr>
      <w:tr w:rsidR="0018721C" w:rsidTr="37D35C3F" w14:paraId="66EEF9FC" w14:textId="77777777">
        <w:trPr>
          <w:trHeight w:val="984"/>
        </w:trPr>
        <w:tc>
          <w:tcPr>
            <w:tcW w:w="4106" w:type="dxa"/>
            <w:shd w:val="clear" w:color="auto" w:fill="E3F1ED" w:themeFill="accent3" w:themeFillTint="33"/>
            <w:tcMar/>
            <w:vAlign w:val="center"/>
          </w:tcPr>
          <w:p w:rsidRPr="001546A3" w:rsidR="0018721C" w:rsidP="37D35C3F" w:rsidRDefault="0018721C" w14:paraId="2AE9AC44" w14:textId="2B24D2EB">
            <w:pPr>
              <w:rPr>
                <w:color w:val="auto"/>
              </w:rPr>
            </w:pPr>
            <w:r w:rsidRPr="37D35C3F" w:rsidR="0018721C">
              <w:rPr>
                <w:color w:val="auto"/>
              </w:rPr>
              <w:t>Anaphylaxis</w:t>
            </w:r>
          </w:p>
        </w:tc>
        <w:tc>
          <w:tcPr>
            <w:tcW w:w="5856" w:type="dxa"/>
            <w:tcMar/>
            <w:vAlign w:val="center"/>
          </w:tcPr>
          <w:p w:rsidR="0018721C" w:rsidP="37D35C3F" w:rsidRDefault="0018721C" w14:paraId="6182832B" w14:textId="0A0411CC">
            <w:pPr>
              <w:rPr>
                <w:color w:val="auto"/>
              </w:rPr>
            </w:pPr>
            <w:r w:rsidRPr="37D35C3F" w:rsidR="0018721C">
              <w:rPr>
                <w:color w:val="auto"/>
              </w:rPr>
              <w:t>A serious and potentially life-threatening allergic reaction that requires immediate emergency treatment.</w:t>
            </w:r>
          </w:p>
        </w:tc>
      </w:tr>
      <w:tr w:rsidR="0018721C" w:rsidTr="37D35C3F" w14:paraId="34A037A6" w14:textId="77777777">
        <w:trPr>
          <w:trHeight w:val="1975"/>
        </w:trPr>
        <w:tc>
          <w:tcPr>
            <w:tcW w:w="4106" w:type="dxa"/>
            <w:shd w:val="clear" w:color="auto" w:fill="E3F1ED" w:themeFill="accent3" w:themeFillTint="33"/>
            <w:tcMar/>
            <w:vAlign w:val="center"/>
          </w:tcPr>
          <w:p w:rsidRPr="001546A3" w:rsidR="0018721C" w:rsidP="37D35C3F" w:rsidRDefault="0018721C" w14:paraId="78F931ED" w14:textId="77777777">
            <w:pPr>
              <w:rPr>
                <w:color w:val="auto"/>
              </w:rPr>
            </w:pPr>
            <w:r w:rsidRPr="37D35C3F" w:rsidR="0018721C">
              <w:rPr>
                <w:color w:val="auto"/>
              </w:rPr>
              <w:t>Adrenaline auto-injector (AAI)</w:t>
            </w:r>
          </w:p>
        </w:tc>
        <w:tc>
          <w:tcPr>
            <w:tcW w:w="5856" w:type="dxa"/>
            <w:tcMar/>
            <w:vAlign w:val="center"/>
          </w:tcPr>
          <w:p w:rsidRPr="00FA4E8B" w:rsidR="0018721C" w:rsidP="37D35C3F" w:rsidRDefault="00FA4E8B" w14:paraId="0AFD5B32" w14:textId="5E809EA7">
            <w:pPr>
              <w:rPr>
                <w:color w:val="auto"/>
                <w:lang w:val="en-GB"/>
              </w:rPr>
            </w:pPr>
            <w:r w:rsidRPr="37D35C3F" w:rsidR="7F0CB4C4">
              <w:rPr>
                <w:color w:val="auto"/>
                <w:lang w:val="en-GB"/>
              </w:rPr>
              <w:t xml:space="preserve">A prescribed emergency device used to inject adrenaline during anaphylaxis. Examples include EpiPen and </w:t>
            </w:r>
            <w:r w:rsidRPr="37D35C3F" w:rsidR="7F0CB4C4">
              <w:rPr>
                <w:color w:val="auto"/>
                <w:lang w:val="en-GB"/>
              </w:rPr>
              <w:t>Jext</w:t>
            </w:r>
            <w:r w:rsidRPr="37D35C3F" w:rsidR="7F0CB4C4">
              <w:rPr>
                <w:color w:val="auto"/>
                <w:lang w:val="en-GB"/>
              </w:rPr>
              <w:t>. Schools in England are permitted to purchase spare AAIs without a prescription for emergency use and, in line with the DfE statutory guidance, should stock spare AAIs of the correct dosage for their pupils.</w:t>
            </w:r>
          </w:p>
        </w:tc>
      </w:tr>
      <w:tr w:rsidR="00E20357" w:rsidTr="37D35C3F" w14:paraId="67EB3759" w14:textId="77777777">
        <w:trPr>
          <w:trHeight w:val="2105"/>
        </w:trPr>
        <w:tc>
          <w:tcPr>
            <w:tcW w:w="4106" w:type="dxa"/>
            <w:shd w:val="clear" w:color="auto" w:fill="E3F1ED" w:themeFill="accent3" w:themeFillTint="33"/>
            <w:tcMar/>
            <w:vAlign w:val="center"/>
          </w:tcPr>
          <w:p w:rsidRPr="001546A3" w:rsidR="00E20357" w:rsidP="37D35C3F" w:rsidRDefault="00E20357" w14:paraId="11DF9994" w14:textId="1EB739E7">
            <w:pPr>
              <w:rPr>
                <w:color w:val="auto"/>
              </w:rPr>
            </w:pPr>
            <w:r w:rsidRPr="37D35C3F" w:rsidR="091A360B">
              <w:rPr>
                <w:color w:val="auto"/>
              </w:rPr>
              <w:t>Adrenaline device (AD)</w:t>
            </w:r>
          </w:p>
        </w:tc>
        <w:tc>
          <w:tcPr>
            <w:tcW w:w="5856" w:type="dxa"/>
            <w:tcMar/>
            <w:vAlign w:val="center"/>
          </w:tcPr>
          <w:p w:rsidRPr="00A1104D" w:rsidR="00E20357" w:rsidP="37D35C3F" w:rsidRDefault="001679B8" w14:paraId="4A1377E4" w14:textId="4EDC75A8">
            <w:pPr>
              <w:rPr>
                <w:color w:val="auto"/>
              </w:rPr>
            </w:pPr>
            <w:r w:rsidRPr="37D35C3F" w:rsidR="6CF6C4C3">
              <w:rPr>
                <w:color w:val="auto"/>
              </w:rPr>
              <w:t>A wider term for prescribed adrenaline used in anaphylaxis. This includes an adrenaline auto-injector or, where prescribed to an individual, a non-injectable nasal adrenaline device. At present, the legal exemption permitting schools in England to purchase spare adrenaline devices without a prescription applies to AAIs only.</w:t>
            </w:r>
          </w:p>
        </w:tc>
      </w:tr>
      <w:tr w:rsidR="0018721C" w:rsidTr="37D35C3F" w14:paraId="7B350678" w14:textId="77777777">
        <w:trPr>
          <w:trHeight w:val="1553"/>
        </w:trPr>
        <w:tc>
          <w:tcPr>
            <w:tcW w:w="4106" w:type="dxa"/>
            <w:shd w:val="clear" w:color="auto" w:fill="E3F1ED" w:themeFill="accent3" w:themeFillTint="33"/>
            <w:tcMar/>
            <w:vAlign w:val="center"/>
          </w:tcPr>
          <w:p w:rsidRPr="001546A3" w:rsidR="0018721C" w:rsidP="37D35C3F" w:rsidRDefault="0018721C" w14:paraId="0183B4C6" w14:textId="77777777">
            <w:pPr>
              <w:rPr>
                <w:color w:val="auto"/>
              </w:rPr>
            </w:pPr>
            <w:r w:rsidRPr="37D35C3F" w:rsidR="0018721C">
              <w:rPr>
                <w:color w:val="auto"/>
              </w:rPr>
              <w:t>Allergy Action Plan (AAP)</w:t>
            </w:r>
          </w:p>
        </w:tc>
        <w:tc>
          <w:tcPr>
            <w:tcW w:w="5856" w:type="dxa"/>
            <w:tcMar/>
            <w:vAlign w:val="center"/>
          </w:tcPr>
          <w:p w:rsidR="0018721C" w:rsidP="37D35C3F" w:rsidRDefault="003932D0" w14:paraId="34BABEC3" w14:textId="31BD4890">
            <w:pPr>
              <w:rPr>
                <w:color w:val="auto"/>
              </w:rPr>
            </w:pPr>
            <w:r w:rsidRPr="37D35C3F" w:rsidR="0052BE54">
              <w:rPr>
                <w:color w:val="auto"/>
              </w:rPr>
              <w:t>A plan completed by a healthcare professional setting out the pupil’s allergens, symptoms, medication and emergency response. It should be attached to, or referenced within, the pupil’s IHP where required.</w:t>
            </w:r>
          </w:p>
        </w:tc>
      </w:tr>
      <w:tr w:rsidR="0018721C" w:rsidTr="37D35C3F" w14:paraId="36B553C0" w14:textId="77777777">
        <w:trPr>
          <w:trHeight w:val="1834"/>
        </w:trPr>
        <w:tc>
          <w:tcPr>
            <w:tcW w:w="4106" w:type="dxa"/>
            <w:shd w:val="clear" w:color="auto" w:fill="E3F1ED" w:themeFill="accent3" w:themeFillTint="33"/>
            <w:tcMar/>
            <w:vAlign w:val="center"/>
          </w:tcPr>
          <w:p w:rsidRPr="001546A3" w:rsidR="0018721C" w:rsidP="37D35C3F" w:rsidRDefault="0018721C" w14:paraId="3C4627D0" w14:textId="77777777">
            <w:pPr>
              <w:rPr>
                <w:color w:val="auto"/>
              </w:rPr>
            </w:pPr>
            <w:r w:rsidRPr="37D35C3F" w:rsidR="0018721C">
              <w:rPr>
                <w:color w:val="auto"/>
              </w:rPr>
              <w:t>Individual Healthcare Plan (IHP)</w:t>
            </w:r>
          </w:p>
        </w:tc>
        <w:tc>
          <w:tcPr>
            <w:tcW w:w="5856" w:type="dxa"/>
            <w:tcMar/>
            <w:vAlign w:val="center"/>
          </w:tcPr>
          <w:p w:rsidR="0018721C" w:rsidP="37D35C3F" w:rsidRDefault="00244C22" w14:paraId="6A721C52" w14:textId="02ACB8EC">
            <w:pPr>
              <w:rPr>
                <w:color w:val="auto"/>
              </w:rPr>
            </w:pPr>
            <w:r w:rsidRPr="37D35C3F" w:rsidR="49358E1A">
              <w:rPr>
                <w:color w:val="auto"/>
              </w:rPr>
              <w:t>A school plan that records the support required for a pupil with a medical condition or allergy. It should set out the arrangements the school will put in place, including emergency arrangements where relevant. An Allergy Action Plan may be attached to, or used alongside, the IHP.</w:t>
            </w:r>
          </w:p>
        </w:tc>
      </w:tr>
      <w:tr w:rsidR="004656D5" w:rsidTr="37D35C3F" w14:paraId="2F07CF81" w14:textId="77777777">
        <w:trPr>
          <w:trHeight w:val="828"/>
        </w:trPr>
        <w:tc>
          <w:tcPr>
            <w:tcW w:w="4106" w:type="dxa"/>
            <w:shd w:val="clear" w:color="auto" w:fill="E3F1ED" w:themeFill="accent3" w:themeFillTint="33"/>
            <w:tcMar/>
            <w:vAlign w:val="center"/>
          </w:tcPr>
          <w:p w:rsidRPr="00F6734F" w:rsidR="00F6734F" w:rsidP="37D35C3F" w:rsidRDefault="00F6734F" w14:paraId="20022AB3" w14:textId="77777777">
            <w:pPr>
              <w:spacing w:line="300" w:lineRule="atLeast"/>
              <w:rPr>
                <w:rFonts w:eastAsia="Times New Roman" w:cs="Arial"/>
                <w:color w:val="auto"/>
                <w:lang w:val="en-GB" w:eastAsia="en-GB"/>
              </w:rPr>
            </w:pPr>
            <w:r w:rsidRPr="37D35C3F" w:rsidR="2DF27297">
              <w:rPr>
                <w:rFonts w:eastAsia="Times New Roman" w:cs="Arial"/>
                <w:color w:val="auto"/>
                <w:lang w:val="en-GB" w:eastAsia="en-GB"/>
              </w:rPr>
              <w:t>RIDDOR</w:t>
            </w:r>
          </w:p>
          <w:p w:rsidRPr="001546A3" w:rsidR="004656D5" w:rsidP="37D35C3F" w:rsidRDefault="004656D5" w14:paraId="11650E1D" w14:textId="77777777">
            <w:pPr>
              <w:rPr>
                <w:color w:val="auto"/>
              </w:rPr>
            </w:pPr>
          </w:p>
        </w:tc>
        <w:tc>
          <w:tcPr>
            <w:tcW w:w="5856" w:type="dxa"/>
            <w:tcMar/>
            <w:vAlign w:val="center"/>
          </w:tcPr>
          <w:p w:rsidRPr="00244C22" w:rsidR="004656D5" w:rsidP="37D35C3F" w:rsidRDefault="00F6734F" w14:paraId="6CDB2ADA" w14:textId="65D6E3C7">
            <w:pPr>
              <w:rPr>
                <w:color w:val="auto"/>
              </w:rPr>
            </w:pPr>
            <w:r w:rsidRPr="37D35C3F" w:rsidR="2DF27297">
              <w:rPr>
                <w:color w:val="auto"/>
              </w:rPr>
              <w:t>Reporting of Injuries, Diseases and Dangerous Occurrences Regulations 2013.</w:t>
            </w:r>
          </w:p>
        </w:tc>
      </w:tr>
    </w:tbl>
    <w:p w:rsidR="0015285E" w:rsidP="37D35C3F" w:rsidRDefault="0015285E" w14:paraId="0DE7A6C3" w14:textId="27C10210">
      <w:pPr>
        <w:rPr>
          <w:i w:val="1"/>
          <w:iCs w:val="1"/>
          <w:color w:val="auto"/>
        </w:rPr>
      </w:pPr>
      <w:r w:rsidRPr="37D35C3F">
        <w:rPr>
          <w:i w:val="1"/>
          <w:iCs w:val="1"/>
          <w:color w:val="auto"/>
        </w:rPr>
        <w:br w:type="page"/>
      </w:r>
    </w:p>
    <w:p w:rsidR="00AB66DB" w:rsidP="37D35C3F" w:rsidRDefault="00D03085" w14:paraId="130CEF21" w14:textId="77777777">
      <w:pPr>
        <w:pStyle w:val="Heading1"/>
        <w:spacing w:line="360" w:lineRule="auto"/>
        <w:rPr>
          <w:rFonts w:ascii="Arial" w:hAnsi="Arial" w:eastAsia="Arial"/>
          <w:color w:val="auto"/>
        </w:rPr>
      </w:pPr>
      <w:r w:rsidRPr="37D35C3F" w:rsidR="00D03085">
        <w:rPr>
          <w:rFonts w:ascii="Arial" w:hAnsi="Arial" w:eastAsia="Arial"/>
          <w:color w:val="auto"/>
        </w:rPr>
        <w:t>Document control</w:t>
      </w:r>
    </w:p>
    <w:tbl>
      <w:tblPr>
        <w:tblStyle w:val="TableGrid"/>
        <w:tblW w:w="0" w:type="auto"/>
        <w:jc w:val="center"/>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Look w:val="04A0" w:firstRow="1" w:lastRow="0" w:firstColumn="1" w:lastColumn="0" w:noHBand="0" w:noVBand="1"/>
      </w:tblPr>
      <w:tblGrid>
        <w:gridCol w:w="1980"/>
        <w:gridCol w:w="1559"/>
        <w:gridCol w:w="1418"/>
        <w:gridCol w:w="2835"/>
        <w:gridCol w:w="2170"/>
      </w:tblGrid>
      <w:tr w:rsidRPr="009052F5" w:rsidR="00AB66DB" w:rsidTr="37D35C3F" w14:paraId="0BC49EB2" w14:textId="77777777">
        <w:trPr>
          <w:trHeight w:val="2127"/>
          <w:jc w:val="center"/>
        </w:trPr>
        <w:tc>
          <w:tcPr>
            <w:tcW w:w="3539" w:type="dxa"/>
            <w:gridSpan w:val="2"/>
            <w:shd w:val="clear" w:color="auto" w:fill="E3F1ED" w:themeFill="accent3" w:themeFillTint="33"/>
            <w:tcMar/>
            <w:vAlign w:val="center"/>
          </w:tcPr>
          <w:p w:rsidRPr="009052F5" w:rsidR="00AB66DB" w:rsidP="37D35C3F" w:rsidRDefault="00D03085" w14:paraId="38B130BB" w14:textId="30201C40">
            <w:pPr>
              <w:rPr>
                <w:color w:val="auto"/>
                <w:highlight w:val="yellow"/>
              </w:rPr>
            </w:pPr>
            <w:r w:rsidRPr="37D35C3F" w:rsidR="00D03085">
              <w:rPr>
                <w:color w:val="auto"/>
                <w:highlight w:val="yellow"/>
              </w:rPr>
              <w:t>School name</w:t>
            </w:r>
            <w:r w:rsidRPr="37D35C3F" w:rsidR="0A2CF7F6">
              <w:rPr>
                <w:color w:val="auto"/>
                <w:highlight w:val="yellow"/>
              </w:rPr>
              <w:t xml:space="preserve"> and address</w:t>
            </w:r>
          </w:p>
        </w:tc>
        <w:tc>
          <w:tcPr>
            <w:tcW w:w="6423" w:type="dxa"/>
            <w:gridSpan w:val="3"/>
            <w:tcMar/>
            <w:vAlign w:val="center"/>
          </w:tcPr>
          <w:p w:rsidRPr="009052F5" w:rsidR="00AB66DB" w:rsidP="37D35C3F" w:rsidRDefault="00D03085" w14:paraId="2B5AFA47" w14:textId="0E2A6087">
            <w:pPr>
              <w:rPr>
                <w:color w:val="auto"/>
                <w:highlight w:val="yellow"/>
              </w:rPr>
            </w:pPr>
            <w:r w:rsidRPr="37D35C3F" w:rsidR="00D03085">
              <w:rPr>
                <w:color w:val="auto"/>
                <w:highlight w:val="yellow"/>
              </w:rPr>
              <w:t>[Insert school name</w:t>
            </w:r>
            <w:r w:rsidRPr="37D35C3F" w:rsidR="2AB2635C">
              <w:rPr>
                <w:color w:val="auto"/>
                <w:highlight w:val="yellow"/>
              </w:rPr>
              <w:t xml:space="preserve"> and address</w:t>
            </w:r>
            <w:r w:rsidRPr="37D35C3F" w:rsidR="00D03085">
              <w:rPr>
                <w:color w:val="auto"/>
                <w:highlight w:val="yellow"/>
              </w:rPr>
              <w:t>]</w:t>
            </w:r>
          </w:p>
        </w:tc>
      </w:tr>
      <w:tr w:rsidRPr="009052F5" w:rsidR="00AB66DB" w:rsidTr="37D35C3F" w14:paraId="713D1D73" w14:textId="77777777">
        <w:trPr>
          <w:trHeight w:val="657"/>
          <w:jc w:val="center"/>
        </w:trPr>
        <w:tc>
          <w:tcPr>
            <w:tcW w:w="3539" w:type="dxa"/>
            <w:gridSpan w:val="2"/>
            <w:shd w:val="clear" w:color="auto" w:fill="E3F1ED" w:themeFill="accent3" w:themeFillTint="33"/>
            <w:tcMar/>
            <w:vAlign w:val="center"/>
          </w:tcPr>
          <w:p w:rsidRPr="009052F5" w:rsidR="00AB66DB" w:rsidP="37D35C3F" w:rsidRDefault="00D03085" w14:paraId="112FDCC2" w14:textId="77777777">
            <w:pPr>
              <w:rPr>
                <w:color w:val="auto"/>
                <w:highlight w:val="yellow"/>
              </w:rPr>
            </w:pPr>
            <w:r w:rsidRPr="37D35C3F" w:rsidR="00D03085">
              <w:rPr>
                <w:color w:val="auto"/>
                <w:highlight w:val="yellow"/>
              </w:rPr>
              <w:t>Policy title</w:t>
            </w:r>
          </w:p>
        </w:tc>
        <w:tc>
          <w:tcPr>
            <w:tcW w:w="6423" w:type="dxa"/>
            <w:gridSpan w:val="3"/>
            <w:tcMar/>
            <w:vAlign w:val="center"/>
          </w:tcPr>
          <w:p w:rsidRPr="009052F5" w:rsidR="00AB66DB" w:rsidP="37D35C3F" w:rsidRDefault="00D03085" w14:paraId="07070B35" w14:textId="77777777">
            <w:pPr>
              <w:rPr>
                <w:color w:val="auto"/>
                <w:highlight w:val="yellow"/>
              </w:rPr>
            </w:pPr>
            <w:r w:rsidRPr="37D35C3F" w:rsidR="00D03085">
              <w:rPr>
                <w:color w:val="auto"/>
                <w:highlight w:val="yellow"/>
              </w:rPr>
              <w:t>Allergy and Anaphylaxis Policy</w:t>
            </w:r>
          </w:p>
        </w:tc>
      </w:tr>
      <w:tr w:rsidRPr="009052F5" w:rsidR="00AB66DB" w:rsidTr="37D35C3F" w14:paraId="12B22FC7" w14:textId="77777777">
        <w:trPr>
          <w:trHeight w:val="691"/>
          <w:jc w:val="center"/>
        </w:trPr>
        <w:tc>
          <w:tcPr>
            <w:tcW w:w="3539" w:type="dxa"/>
            <w:gridSpan w:val="2"/>
            <w:shd w:val="clear" w:color="auto" w:fill="E3F1ED" w:themeFill="accent3" w:themeFillTint="33"/>
            <w:tcMar/>
            <w:vAlign w:val="center"/>
          </w:tcPr>
          <w:p w:rsidRPr="009052F5" w:rsidR="00AB66DB" w:rsidP="37D35C3F" w:rsidRDefault="00D03085" w14:paraId="46FC83F4" w14:textId="77777777">
            <w:pPr>
              <w:rPr>
                <w:color w:val="auto"/>
                <w:highlight w:val="yellow"/>
              </w:rPr>
            </w:pPr>
            <w:r w:rsidRPr="37D35C3F" w:rsidR="00D03085">
              <w:rPr>
                <w:color w:val="auto"/>
                <w:highlight w:val="yellow"/>
              </w:rPr>
              <w:t>Local policy lead</w:t>
            </w:r>
          </w:p>
        </w:tc>
        <w:tc>
          <w:tcPr>
            <w:tcW w:w="6423" w:type="dxa"/>
            <w:gridSpan w:val="3"/>
            <w:tcMar/>
            <w:vAlign w:val="center"/>
          </w:tcPr>
          <w:p w:rsidRPr="009052F5" w:rsidR="00AB66DB" w:rsidP="37D35C3F" w:rsidRDefault="00D03085" w14:paraId="24913C5E" w14:textId="5EA12209">
            <w:pPr>
              <w:rPr>
                <w:color w:val="auto" w:themeColor="accent1" w:themeShade="BF"/>
                <w:highlight w:val="yellow"/>
              </w:rPr>
            </w:pPr>
            <w:r w:rsidRPr="37D35C3F" w:rsidR="00D03085">
              <w:rPr>
                <w:color w:val="auto"/>
                <w:highlight w:val="yellow"/>
              </w:rPr>
              <w:t>[</w:t>
            </w:r>
            <w:r w:rsidRPr="37D35C3F" w:rsidR="474AD1BA">
              <w:rPr>
                <w:color w:val="auto"/>
                <w:highlight w:val="yellow"/>
              </w:rPr>
              <w:t>Insert name or roll</w:t>
            </w:r>
            <w:r w:rsidRPr="37D35C3F" w:rsidR="00D03085">
              <w:rPr>
                <w:color w:val="auto"/>
                <w:highlight w:val="yellow"/>
              </w:rPr>
              <w:t>]</w:t>
            </w:r>
          </w:p>
        </w:tc>
      </w:tr>
      <w:tr w:rsidRPr="009052F5" w:rsidR="00AB66DB" w:rsidTr="37D35C3F" w14:paraId="27A61651" w14:textId="77777777">
        <w:trPr>
          <w:trHeight w:val="796"/>
          <w:jc w:val="center"/>
        </w:trPr>
        <w:tc>
          <w:tcPr>
            <w:tcW w:w="3539" w:type="dxa"/>
            <w:gridSpan w:val="2"/>
            <w:shd w:val="clear" w:color="auto" w:fill="E3F1ED" w:themeFill="accent3" w:themeFillTint="33"/>
            <w:tcMar/>
            <w:vAlign w:val="center"/>
          </w:tcPr>
          <w:p w:rsidRPr="009052F5" w:rsidR="00AB66DB" w:rsidP="37D35C3F" w:rsidRDefault="00D368FC" w14:paraId="5DBF9385" w14:textId="6DC6C852">
            <w:pPr>
              <w:rPr>
                <w:color w:val="auto"/>
                <w:highlight w:val="yellow"/>
              </w:rPr>
            </w:pPr>
            <w:r w:rsidRPr="37D35C3F" w:rsidR="50F84A7C">
              <w:rPr>
                <w:color w:val="auto"/>
                <w:highlight w:val="yellow"/>
              </w:rPr>
              <w:t>Named senior leader responsible for allergy safety</w:t>
            </w:r>
          </w:p>
        </w:tc>
        <w:tc>
          <w:tcPr>
            <w:tcW w:w="6423" w:type="dxa"/>
            <w:gridSpan w:val="3"/>
            <w:tcMar/>
            <w:vAlign w:val="center"/>
          </w:tcPr>
          <w:p w:rsidRPr="009052F5" w:rsidR="00AB66DB" w:rsidP="37D35C3F" w:rsidRDefault="00D03085" w14:paraId="5C107F22" w14:textId="7A41CA05">
            <w:pPr>
              <w:rPr>
                <w:color w:val="auto" w:themeColor="accent1" w:themeShade="BF"/>
                <w:highlight w:val="yellow"/>
              </w:rPr>
            </w:pPr>
            <w:r w:rsidRPr="37D35C3F" w:rsidR="00D03085">
              <w:rPr>
                <w:color w:val="auto"/>
                <w:highlight w:val="yellow"/>
              </w:rPr>
              <w:t xml:space="preserve">[Insert </w:t>
            </w:r>
            <w:r w:rsidRPr="37D35C3F" w:rsidR="50F84A7C">
              <w:rPr>
                <w:color w:val="auto"/>
                <w:highlight w:val="yellow"/>
              </w:rPr>
              <w:t>name and role</w:t>
            </w:r>
            <w:r w:rsidRPr="37D35C3F" w:rsidR="00D03085">
              <w:rPr>
                <w:color w:val="auto"/>
                <w:highlight w:val="yellow"/>
              </w:rPr>
              <w:t>]</w:t>
            </w:r>
          </w:p>
        </w:tc>
      </w:tr>
      <w:tr w:rsidRPr="009052F5" w:rsidR="00376DD6" w:rsidTr="37D35C3F" w14:paraId="186C271C" w14:textId="77777777">
        <w:trPr>
          <w:trHeight w:val="837"/>
          <w:jc w:val="center"/>
        </w:trPr>
        <w:tc>
          <w:tcPr>
            <w:tcW w:w="1980" w:type="dxa"/>
            <w:shd w:val="clear" w:color="auto" w:fill="E3F1ED" w:themeFill="accent3" w:themeFillTint="33"/>
            <w:tcMar/>
            <w:vAlign w:val="center"/>
          </w:tcPr>
          <w:p w:rsidRPr="009052F5" w:rsidR="00376DD6" w:rsidP="37D35C3F" w:rsidRDefault="00376DD6" w14:paraId="000D1398" w14:textId="5D7EB30B">
            <w:pPr>
              <w:rPr>
                <w:color w:val="auto"/>
                <w:highlight w:val="yellow"/>
              </w:rPr>
            </w:pPr>
            <w:r w:rsidRPr="37D35C3F" w:rsidR="341A7076">
              <w:rPr>
                <w:color w:val="auto"/>
                <w:highlight w:val="yellow"/>
              </w:rPr>
              <w:t>Date approved:</w:t>
            </w:r>
          </w:p>
        </w:tc>
        <w:tc>
          <w:tcPr>
            <w:tcW w:w="2977" w:type="dxa"/>
            <w:gridSpan w:val="2"/>
            <w:tcMar/>
            <w:vAlign w:val="center"/>
          </w:tcPr>
          <w:p w:rsidRPr="009052F5" w:rsidR="00376DD6" w:rsidP="37D35C3F" w:rsidRDefault="00376DD6" w14:paraId="5B9E70AB" w14:textId="77777777">
            <w:pPr>
              <w:rPr>
                <w:color w:val="auto" w:themeColor="accent1" w:themeShade="BF"/>
                <w:highlight w:val="yellow"/>
              </w:rPr>
            </w:pPr>
            <w:r w:rsidRPr="37D35C3F" w:rsidR="341A7076">
              <w:rPr>
                <w:color w:val="auto"/>
                <w:highlight w:val="yellow"/>
              </w:rPr>
              <w:t>[Insert date]</w:t>
            </w:r>
          </w:p>
        </w:tc>
        <w:tc>
          <w:tcPr>
            <w:tcW w:w="2835" w:type="dxa"/>
            <w:shd w:val="clear" w:color="auto" w:fill="E3F1ED" w:themeFill="accent3" w:themeFillTint="33"/>
            <w:tcMar/>
            <w:vAlign w:val="center"/>
          </w:tcPr>
          <w:p w:rsidRPr="009052F5" w:rsidR="00376DD6" w:rsidP="37D35C3F" w:rsidRDefault="00376DD6" w14:paraId="4841FE52" w14:textId="39BC1C84">
            <w:pPr>
              <w:rPr>
                <w:color w:val="auto" w:themeColor="accent1" w:themeShade="BF"/>
                <w:highlight w:val="yellow"/>
              </w:rPr>
            </w:pPr>
            <w:r w:rsidRPr="37D35C3F" w:rsidR="341A7076">
              <w:rPr>
                <w:color w:val="auto"/>
                <w:highlight w:val="yellow"/>
              </w:rPr>
              <w:t>Date implemented from</w:t>
            </w:r>
          </w:p>
        </w:tc>
        <w:tc>
          <w:tcPr>
            <w:tcW w:w="2170" w:type="dxa"/>
            <w:tcMar/>
            <w:vAlign w:val="center"/>
          </w:tcPr>
          <w:p w:rsidRPr="009052F5" w:rsidR="00376DD6" w:rsidP="37D35C3F" w:rsidRDefault="00376DD6" w14:paraId="10B55AE1" w14:textId="10E4AB99">
            <w:pPr>
              <w:rPr>
                <w:color w:val="auto" w:themeColor="accent1" w:themeShade="BF"/>
                <w:highlight w:val="yellow"/>
              </w:rPr>
            </w:pPr>
            <w:r w:rsidRPr="37D35C3F" w:rsidR="341A7076">
              <w:rPr>
                <w:color w:val="auto"/>
                <w:highlight w:val="yellow"/>
              </w:rPr>
              <w:t>[Insert date]</w:t>
            </w:r>
          </w:p>
        </w:tc>
      </w:tr>
      <w:tr w:rsidRPr="009052F5" w:rsidR="00AB66DB" w:rsidTr="37D35C3F" w14:paraId="0578945C" w14:textId="77777777">
        <w:trPr>
          <w:trHeight w:val="990"/>
          <w:jc w:val="center"/>
        </w:trPr>
        <w:tc>
          <w:tcPr>
            <w:tcW w:w="3539" w:type="dxa"/>
            <w:gridSpan w:val="2"/>
            <w:shd w:val="clear" w:color="auto" w:fill="E3F1ED" w:themeFill="accent3" w:themeFillTint="33"/>
            <w:tcMar/>
            <w:vAlign w:val="center"/>
          </w:tcPr>
          <w:p w:rsidRPr="009052F5" w:rsidR="00AB66DB" w:rsidP="37D35C3F" w:rsidRDefault="00D03085" w14:paraId="44173A60" w14:textId="77777777">
            <w:pPr>
              <w:rPr>
                <w:color w:val="auto"/>
                <w:highlight w:val="yellow"/>
              </w:rPr>
            </w:pPr>
            <w:r w:rsidRPr="37D35C3F" w:rsidR="00D03085">
              <w:rPr>
                <w:color w:val="auto"/>
                <w:highlight w:val="yellow"/>
              </w:rPr>
              <w:t>Review frequency</w:t>
            </w:r>
          </w:p>
        </w:tc>
        <w:tc>
          <w:tcPr>
            <w:tcW w:w="6423" w:type="dxa"/>
            <w:gridSpan w:val="3"/>
            <w:tcMar/>
            <w:vAlign w:val="center"/>
          </w:tcPr>
          <w:p w:rsidRPr="009052F5" w:rsidR="00AB66DB" w:rsidP="37D35C3F" w:rsidRDefault="00C9677C" w14:paraId="50D1ACAF" w14:textId="223F8CEB">
            <w:pPr>
              <w:rPr>
                <w:color w:val="auto"/>
                <w:highlight w:val="yellow"/>
              </w:rPr>
            </w:pPr>
            <w:r w:rsidRPr="37D35C3F" w:rsidR="145B7A22">
              <w:rPr>
                <w:color w:val="auto"/>
                <w:highlight w:val="yellow"/>
              </w:rPr>
              <w:t>At least annually, or sooner following a serious allergic reaction, significant near miss, change in statutory requirements, national guidance or local allergy management arrangements.</w:t>
            </w:r>
          </w:p>
        </w:tc>
      </w:tr>
      <w:tr w:rsidRPr="009052F5" w:rsidR="00AB66DB" w:rsidTr="37D35C3F" w14:paraId="5C921A32" w14:textId="77777777">
        <w:trPr>
          <w:trHeight w:val="705"/>
          <w:jc w:val="center"/>
        </w:trPr>
        <w:tc>
          <w:tcPr>
            <w:tcW w:w="3539" w:type="dxa"/>
            <w:gridSpan w:val="2"/>
            <w:shd w:val="clear" w:color="auto" w:fill="E3F1ED" w:themeFill="accent3" w:themeFillTint="33"/>
            <w:tcMar/>
            <w:vAlign w:val="center"/>
          </w:tcPr>
          <w:p w:rsidRPr="009052F5" w:rsidR="00AB66DB" w:rsidP="37D35C3F" w:rsidRDefault="00C65AF6" w14:paraId="610FA070" w14:textId="7A30873B">
            <w:pPr>
              <w:rPr>
                <w:color w:val="auto"/>
                <w:highlight w:val="yellow"/>
              </w:rPr>
            </w:pPr>
            <w:r w:rsidRPr="37D35C3F" w:rsidR="4B489E26">
              <w:rPr>
                <w:color w:val="auto"/>
                <w:highlight w:val="yellow"/>
              </w:rPr>
              <w:t>Review due by</w:t>
            </w:r>
          </w:p>
        </w:tc>
        <w:tc>
          <w:tcPr>
            <w:tcW w:w="6423" w:type="dxa"/>
            <w:gridSpan w:val="3"/>
            <w:tcMar/>
            <w:vAlign w:val="center"/>
          </w:tcPr>
          <w:p w:rsidRPr="009052F5" w:rsidR="00AB66DB" w:rsidP="37D35C3F" w:rsidRDefault="00D03085" w14:paraId="2E65B8FD" w14:textId="77777777">
            <w:pPr>
              <w:rPr>
                <w:color w:val="auto"/>
                <w:highlight w:val="yellow"/>
              </w:rPr>
            </w:pPr>
            <w:r w:rsidRPr="37D35C3F" w:rsidR="00D03085">
              <w:rPr>
                <w:color w:val="auto"/>
                <w:highlight w:val="yellow"/>
              </w:rPr>
              <w:t>[Insert date]</w:t>
            </w:r>
          </w:p>
        </w:tc>
      </w:tr>
      <w:tr w:rsidRPr="009052F5" w:rsidR="00AB66DB" w:rsidTr="37D35C3F" w14:paraId="01973530" w14:textId="77777777">
        <w:trPr>
          <w:trHeight w:val="1126"/>
          <w:jc w:val="center"/>
        </w:trPr>
        <w:tc>
          <w:tcPr>
            <w:tcW w:w="3539" w:type="dxa"/>
            <w:gridSpan w:val="2"/>
            <w:shd w:val="clear" w:color="auto" w:fill="E3F1ED" w:themeFill="accent3" w:themeFillTint="33"/>
            <w:tcMar/>
            <w:vAlign w:val="center"/>
          </w:tcPr>
          <w:p w:rsidRPr="009052F5" w:rsidR="00AB66DB" w:rsidP="37D35C3F" w:rsidRDefault="00262030" w14:paraId="570E1220" w14:textId="7DF06EC5">
            <w:pPr>
              <w:rPr>
                <w:color w:val="auto"/>
                <w:highlight w:val="yellow"/>
              </w:rPr>
            </w:pPr>
            <w:r w:rsidRPr="37D35C3F" w:rsidR="7143F711">
              <w:rPr>
                <w:color w:val="auto"/>
                <w:highlight w:val="yellow"/>
              </w:rPr>
              <w:t>Published location:</w:t>
            </w:r>
          </w:p>
        </w:tc>
        <w:tc>
          <w:tcPr>
            <w:tcW w:w="6423" w:type="dxa"/>
            <w:gridSpan w:val="3"/>
            <w:tcMar/>
            <w:vAlign w:val="center"/>
          </w:tcPr>
          <w:p w:rsidRPr="009052F5" w:rsidR="00AB66DB" w:rsidP="37D35C3F" w:rsidRDefault="00262030" w14:paraId="354668D1" w14:textId="1EB00A0F">
            <w:pPr>
              <w:rPr>
                <w:color w:val="auto"/>
                <w:highlight w:val="yellow"/>
              </w:rPr>
            </w:pPr>
            <w:r w:rsidRPr="37D35C3F" w:rsidR="7143F711">
              <w:rPr>
                <w:color w:val="auto"/>
                <w:highlight w:val="yellow"/>
              </w:rPr>
              <w:t>[</w:t>
            </w:r>
            <w:r w:rsidRPr="37D35C3F" w:rsidR="24FB18BB">
              <w:rPr>
                <w:color w:val="auto"/>
                <w:highlight w:val="yellow"/>
              </w:rPr>
              <w:t>Insert website, staff system or other access location</w:t>
            </w:r>
            <w:r w:rsidRPr="37D35C3F" w:rsidR="7143F711">
              <w:rPr>
                <w:color w:val="auto"/>
                <w:highlight w:val="yellow"/>
              </w:rPr>
              <w:t>]</w:t>
            </w:r>
          </w:p>
        </w:tc>
      </w:tr>
      <w:tr w:rsidR="00AB66DB" w:rsidTr="37D35C3F" w14:paraId="49A4CD65" w14:textId="77777777">
        <w:trPr>
          <w:trHeight w:val="1823"/>
          <w:jc w:val="center"/>
        </w:trPr>
        <w:tc>
          <w:tcPr>
            <w:tcW w:w="3539" w:type="dxa"/>
            <w:gridSpan w:val="2"/>
            <w:shd w:val="clear" w:color="auto" w:fill="E3F1ED" w:themeFill="accent3" w:themeFillTint="33"/>
            <w:tcMar/>
            <w:vAlign w:val="center"/>
          </w:tcPr>
          <w:p w:rsidRPr="009052F5" w:rsidR="00AB66DB" w:rsidP="37D35C3F" w:rsidRDefault="00D03085" w14:paraId="7B4A5A50" w14:textId="77777777">
            <w:pPr>
              <w:rPr>
                <w:color w:val="auto"/>
                <w:highlight w:val="yellow"/>
              </w:rPr>
            </w:pPr>
            <w:r w:rsidRPr="37D35C3F" w:rsidR="00D03085">
              <w:rPr>
                <w:color w:val="auto"/>
                <w:highlight w:val="yellow"/>
              </w:rPr>
              <w:t>Related policies</w:t>
            </w:r>
          </w:p>
        </w:tc>
        <w:tc>
          <w:tcPr>
            <w:tcW w:w="6423" w:type="dxa"/>
            <w:gridSpan w:val="3"/>
            <w:tcMar/>
            <w:vAlign w:val="center"/>
          </w:tcPr>
          <w:p w:rsidR="00AB66DB" w:rsidP="37D35C3F" w:rsidRDefault="00441C14" w14:paraId="01B4471A" w14:textId="3420FBF7">
            <w:pPr>
              <w:rPr>
                <w:color w:val="auto"/>
                <w:highlight w:val="yellow"/>
              </w:rPr>
            </w:pPr>
            <w:r w:rsidRPr="37D35C3F" w:rsidR="24FB18BB">
              <w:rPr>
                <w:color w:val="auto"/>
                <w:highlight w:val="yellow"/>
              </w:rPr>
              <w:t xml:space="preserve">Supporting Pupils with Medical Needs, Administration of Medicines, First Aid, Safeguarding, </w:t>
            </w:r>
            <w:r w:rsidRPr="37D35C3F" w:rsidR="24FB18BB">
              <w:rPr>
                <w:color w:val="auto"/>
                <w:highlight w:val="yellow"/>
              </w:rPr>
              <w:t>Behaviour</w:t>
            </w:r>
            <w:r w:rsidRPr="37D35C3F" w:rsidR="24FB18BB">
              <w:rPr>
                <w:color w:val="auto"/>
                <w:highlight w:val="yellow"/>
              </w:rPr>
              <w:t xml:space="preserve"> and Anti-Bullying, Educational Visits, Food Safety/Catering, Equality and Accessibility.</w:t>
            </w:r>
          </w:p>
        </w:tc>
      </w:tr>
    </w:tbl>
    <w:p w:rsidR="00217E59" w:rsidP="37D35C3F" w:rsidRDefault="00217E59" w14:paraId="7B501570" w14:textId="77777777">
      <w:pPr>
        <w:rPr>
          <w:b w:val="1"/>
          <w:bCs w:val="1"/>
          <w:color w:val="auto"/>
          <w:lang w:val="en-GB"/>
        </w:rPr>
      </w:pPr>
      <w:r w:rsidRPr="37D35C3F">
        <w:rPr>
          <w:b w:val="1"/>
          <w:bCs w:val="1"/>
          <w:color w:val="auto"/>
          <w:lang w:val="en-GB"/>
        </w:rPr>
        <w:br w:type="page"/>
      </w:r>
    </w:p>
    <w:p w:rsidRPr="00662EAE" w:rsidR="00DB4122" w:rsidP="37D35C3F" w:rsidRDefault="00DB4122" w14:paraId="557BB5AF" w14:textId="71FBFDFB">
      <w:pPr>
        <w:spacing w:after="0" w:line="360" w:lineRule="auto"/>
        <w:rPr>
          <w:b w:val="1"/>
          <w:bCs w:val="1"/>
          <w:color w:val="auto"/>
          <w:lang w:val="en-GB"/>
        </w:rPr>
      </w:pPr>
      <w:r w:rsidRPr="37D35C3F" w:rsidR="00DB4122">
        <w:rPr>
          <w:b w:val="1"/>
          <w:bCs w:val="1"/>
          <w:color w:val="auto"/>
          <w:lang w:val="en-GB"/>
        </w:rPr>
        <w:t>Governance Oversight</w:t>
      </w:r>
    </w:p>
    <w:p w:rsidRPr="00DB4122" w:rsidR="00DB4122" w:rsidP="37D35C3F" w:rsidRDefault="008714C6" w14:paraId="05F5E666" w14:textId="2E75A664">
      <w:pPr>
        <w:rPr>
          <w:color w:val="auto"/>
          <w:lang w:val="en-GB"/>
        </w:rPr>
      </w:pPr>
      <w:r w:rsidRPr="37D35C3F" w:rsidR="008714C6">
        <w:rPr>
          <w:color w:val="auto"/>
          <w:lang w:val="en-GB"/>
        </w:rPr>
        <w:t>The school will identify the following allergy safety roles:</w:t>
      </w:r>
    </w:p>
    <w:tbl>
      <w:tblPr>
        <w:tblStyle w:val="TableGrid"/>
        <w:tblW w:w="0" w:type="auto"/>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Look w:val="04A0" w:firstRow="1" w:lastRow="0" w:firstColumn="1" w:lastColumn="0" w:noHBand="0" w:noVBand="1"/>
      </w:tblPr>
      <w:tblGrid>
        <w:gridCol w:w="5797"/>
        <w:gridCol w:w="4165"/>
      </w:tblGrid>
      <w:tr w:rsidRPr="009052F5" w:rsidR="00DB4122" w:rsidTr="37D35C3F" w14:paraId="289CF621" w14:textId="77777777">
        <w:trPr>
          <w:trHeight w:val="461"/>
        </w:trPr>
        <w:tc>
          <w:tcPr>
            <w:tcW w:w="0" w:type="auto"/>
            <w:shd w:val="clear" w:color="auto" w:fill="E3F1ED" w:themeFill="accent3" w:themeFillTint="33"/>
            <w:tcMar/>
            <w:vAlign w:val="center"/>
            <w:hideMark/>
          </w:tcPr>
          <w:p w:rsidRPr="009052F5" w:rsidR="00DB4122" w:rsidP="37D35C3F" w:rsidRDefault="00DB4122" w14:paraId="23F8B4D0" w14:textId="77777777">
            <w:pPr>
              <w:spacing w:line="276" w:lineRule="auto"/>
              <w:rPr>
                <w:b w:val="1"/>
                <w:bCs w:val="1"/>
                <w:color w:val="auto"/>
                <w:highlight w:val="yellow"/>
                <w:lang w:val="en-GB"/>
              </w:rPr>
            </w:pPr>
            <w:r w:rsidRPr="37D35C3F" w:rsidR="00DB4122">
              <w:rPr>
                <w:b w:val="1"/>
                <w:bCs w:val="1"/>
                <w:color w:val="auto"/>
                <w:highlight w:val="yellow"/>
                <w:lang w:val="en-GB"/>
              </w:rPr>
              <w:t>Role</w:t>
            </w:r>
          </w:p>
        </w:tc>
        <w:tc>
          <w:tcPr>
            <w:tcW w:w="4165" w:type="dxa"/>
            <w:shd w:val="clear" w:color="auto" w:fill="E3F1ED" w:themeFill="accent3" w:themeFillTint="33"/>
            <w:tcMar/>
            <w:vAlign w:val="center"/>
            <w:hideMark/>
          </w:tcPr>
          <w:p w:rsidRPr="009052F5" w:rsidR="00DB4122" w:rsidP="37D35C3F" w:rsidRDefault="00DB4122" w14:paraId="173D601D" w14:textId="77777777">
            <w:pPr>
              <w:spacing w:line="276" w:lineRule="auto"/>
              <w:rPr>
                <w:b w:val="1"/>
                <w:bCs w:val="1"/>
                <w:color w:val="auto"/>
                <w:highlight w:val="yellow"/>
                <w:lang w:val="en-GB"/>
              </w:rPr>
            </w:pPr>
            <w:r w:rsidRPr="37D35C3F" w:rsidR="00DB4122">
              <w:rPr>
                <w:b w:val="1"/>
                <w:bCs w:val="1"/>
                <w:color w:val="auto"/>
                <w:highlight w:val="yellow"/>
                <w:lang w:val="en-GB"/>
              </w:rPr>
              <w:t>Name</w:t>
            </w:r>
          </w:p>
        </w:tc>
      </w:tr>
      <w:tr w:rsidRPr="009052F5" w:rsidR="00DB4122" w:rsidTr="37D35C3F" w14:paraId="21577B09" w14:textId="77777777">
        <w:trPr>
          <w:trHeight w:val="746"/>
        </w:trPr>
        <w:tc>
          <w:tcPr>
            <w:tcW w:w="0" w:type="auto"/>
            <w:shd w:val="clear" w:color="auto" w:fill="E3F1ED" w:themeFill="accent3" w:themeFillTint="33"/>
            <w:tcMar/>
            <w:vAlign w:val="center"/>
            <w:hideMark/>
          </w:tcPr>
          <w:p w:rsidRPr="009052F5" w:rsidR="00DB4122" w:rsidP="37D35C3F" w:rsidRDefault="00AB7E95" w14:paraId="289B0F4E" w14:textId="0CF5F86C">
            <w:pPr>
              <w:spacing w:line="276" w:lineRule="auto"/>
              <w:rPr>
                <w:color w:val="auto"/>
                <w:highlight w:val="yellow"/>
                <w:lang w:val="en-GB"/>
              </w:rPr>
            </w:pPr>
            <w:r w:rsidRPr="37D35C3F" w:rsidR="7D0F78E0">
              <w:rPr>
                <w:color w:val="auto"/>
                <w:highlight w:val="yellow"/>
                <w:lang w:val="en-GB"/>
              </w:rPr>
              <w:t>Named Senior Leader responsible for Allergy Safety</w:t>
            </w:r>
          </w:p>
        </w:tc>
        <w:tc>
          <w:tcPr>
            <w:tcW w:w="4165" w:type="dxa"/>
            <w:tcMar/>
            <w:vAlign w:val="center"/>
            <w:hideMark/>
          </w:tcPr>
          <w:p w:rsidRPr="009052F5" w:rsidR="00DB4122" w:rsidP="37D35C3F" w:rsidRDefault="00DB4122" w14:paraId="5FA6E978" w14:textId="77777777">
            <w:pPr>
              <w:spacing w:line="276" w:lineRule="auto"/>
              <w:rPr>
                <w:color w:val="auto" w:themeColor="accent1" w:themeShade="BF"/>
                <w:highlight w:val="yellow"/>
                <w:lang w:val="en-GB"/>
              </w:rPr>
            </w:pPr>
            <w:r w:rsidRPr="37D35C3F" w:rsidR="00DB4122">
              <w:rPr>
                <w:color w:val="auto"/>
                <w:highlight w:val="yellow"/>
                <w:lang w:val="en-GB"/>
              </w:rPr>
              <w:t>[Insert name]</w:t>
            </w:r>
          </w:p>
        </w:tc>
      </w:tr>
      <w:tr w:rsidRPr="009052F5" w:rsidR="00DB4122" w:rsidTr="37D35C3F" w14:paraId="0C68D965" w14:textId="77777777">
        <w:trPr>
          <w:trHeight w:val="700"/>
        </w:trPr>
        <w:tc>
          <w:tcPr>
            <w:tcW w:w="0" w:type="auto"/>
            <w:shd w:val="clear" w:color="auto" w:fill="E3F1ED" w:themeFill="accent3" w:themeFillTint="33"/>
            <w:tcMar/>
            <w:vAlign w:val="center"/>
            <w:hideMark/>
          </w:tcPr>
          <w:p w:rsidRPr="009052F5" w:rsidR="00DB4122" w:rsidP="37D35C3F" w:rsidRDefault="00AB7E95" w14:paraId="3417C4F6" w14:textId="23A3608E">
            <w:pPr>
              <w:spacing w:line="276" w:lineRule="auto"/>
              <w:rPr>
                <w:color w:val="auto"/>
                <w:highlight w:val="yellow"/>
                <w:lang w:val="en-GB"/>
              </w:rPr>
            </w:pPr>
            <w:r w:rsidRPr="37D35C3F" w:rsidR="7D0F78E0">
              <w:rPr>
                <w:color w:val="auto"/>
                <w:highlight w:val="yellow"/>
                <w:lang w:val="en-GB"/>
              </w:rPr>
              <w:t>Allergy and Anaphylaxis Operational Lead</w:t>
            </w:r>
          </w:p>
        </w:tc>
        <w:tc>
          <w:tcPr>
            <w:tcW w:w="4165" w:type="dxa"/>
            <w:tcMar/>
            <w:vAlign w:val="center"/>
            <w:hideMark/>
          </w:tcPr>
          <w:p w:rsidRPr="009052F5" w:rsidR="00DB4122" w:rsidP="37D35C3F" w:rsidRDefault="00DB4122" w14:paraId="0EEBF028" w14:textId="77777777">
            <w:pPr>
              <w:spacing w:line="276" w:lineRule="auto"/>
              <w:rPr>
                <w:color w:val="auto" w:themeColor="accent1" w:themeShade="BF"/>
                <w:highlight w:val="yellow"/>
                <w:lang w:val="en-GB"/>
              </w:rPr>
            </w:pPr>
            <w:r w:rsidRPr="37D35C3F" w:rsidR="00DB4122">
              <w:rPr>
                <w:color w:val="auto"/>
                <w:highlight w:val="yellow"/>
                <w:lang w:val="en-GB"/>
              </w:rPr>
              <w:t>[Insert name]</w:t>
            </w:r>
          </w:p>
        </w:tc>
      </w:tr>
      <w:tr w:rsidRPr="009052F5" w:rsidR="00DB4122" w:rsidTr="37D35C3F" w14:paraId="69292E52" w14:textId="77777777">
        <w:trPr>
          <w:trHeight w:val="697"/>
        </w:trPr>
        <w:tc>
          <w:tcPr>
            <w:tcW w:w="0" w:type="auto"/>
            <w:shd w:val="clear" w:color="auto" w:fill="E3F1ED" w:themeFill="accent3" w:themeFillTint="33"/>
            <w:tcMar/>
            <w:vAlign w:val="center"/>
            <w:hideMark/>
          </w:tcPr>
          <w:p w:rsidRPr="009052F5" w:rsidR="00DB4122" w:rsidP="37D35C3F" w:rsidRDefault="006C6D4F" w14:paraId="2D68A746" w14:textId="05283BF0">
            <w:pPr>
              <w:spacing w:line="276" w:lineRule="auto"/>
              <w:rPr>
                <w:color w:val="auto"/>
                <w:highlight w:val="yellow"/>
                <w:lang w:val="en-GB"/>
              </w:rPr>
            </w:pPr>
            <w:r w:rsidRPr="37D35C3F" w:rsidR="4EE77AF7">
              <w:rPr>
                <w:color w:val="auto"/>
                <w:highlight w:val="yellow"/>
                <w:lang w:val="en-GB"/>
              </w:rPr>
              <w:t>Deputy Allergy and Anaphylaxis Lead</w:t>
            </w:r>
          </w:p>
        </w:tc>
        <w:tc>
          <w:tcPr>
            <w:tcW w:w="4165" w:type="dxa"/>
            <w:tcMar/>
            <w:vAlign w:val="center"/>
            <w:hideMark/>
          </w:tcPr>
          <w:p w:rsidRPr="009052F5" w:rsidR="00DB4122" w:rsidP="37D35C3F" w:rsidRDefault="00DB4122" w14:paraId="22E5E905" w14:textId="77777777">
            <w:pPr>
              <w:spacing w:line="276" w:lineRule="auto"/>
              <w:rPr>
                <w:color w:val="auto" w:themeColor="accent1" w:themeShade="BF"/>
                <w:highlight w:val="yellow"/>
                <w:lang w:val="en-GB"/>
              </w:rPr>
            </w:pPr>
            <w:r w:rsidRPr="37D35C3F" w:rsidR="00DB4122">
              <w:rPr>
                <w:color w:val="auto"/>
                <w:highlight w:val="yellow"/>
                <w:lang w:val="en-GB"/>
              </w:rPr>
              <w:t>[Insert name]</w:t>
            </w:r>
          </w:p>
        </w:tc>
      </w:tr>
      <w:tr w:rsidRPr="00DB4122" w:rsidR="00DB4122" w:rsidTr="37D35C3F" w14:paraId="526A68C1" w14:textId="77777777">
        <w:trPr>
          <w:trHeight w:val="707"/>
        </w:trPr>
        <w:tc>
          <w:tcPr>
            <w:tcW w:w="0" w:type="auto"/>
            <w:shd w:val="clear" w:color="auto" w:fill="E3F1ED" w:themeFill="accent3" w:themeFillTint="33"/>
            <w:tcMar/>
            <w:vAlign w:val="center"/>
            <w:hideMark/>
          </w:tcPr>
          <w:p w:rsidRPr="009052F5" w:rsidR="00DB4122" w:rsidP="37D35C3F" w:rsidRDefault="006C6D4F" w14:paraId="6BE2E0E5" w14:textId="2A883D20">
            <w:pPr>
              <w:spacing w:line="276" w:lineRule="auto"/>
              <w:rPr>
                <w:color w:val="auto"/>
                <w:highlight w:val="yellow"/>
                <w:lang w:val="en-GB"/>
              </w:rPr>
            </w:pPr>
            <w:r w:rsidRPr="37D35C3F" w:rsidR="4EE77AF7">
              <w:rPr>
                <w:color w:val="auto"/>
                <w:highlight w:val="yellow"/>
                <w:lang w:val="en-GB"/>
              </w:rPr>
              <w:t>Named Governor or Trustee responsible for Allergy Safety</w:t>
            </w:r>
          </w:p>
        </w:tc>
        <w:tc>
          <w:tcPr>
            <w:tcW w:w="4165" w:type="dxa"/>
            <w:tcMar/>
            <w:vAlign w:val="center"/>
            <w:hideMark/>
          </w:tcPr>
          <w:p w:rsidRPr="009F4DF3" w:rsidR="00DB4122" w:rsidP="37D35C3F" w:rsidRDefault="00DB4122" w14:paraId="79DA9A9D" w14:textId="77777777">
            <w:pPr>
              <w:spacing w:line="276" w:lineRule="auto"/>
              <w:rPr>
                <w:color w:val="auto" w:themeColor="accent1" w:themeShade="BF"/>
                <w:lang w:val="en-GB"/>
              </w:rPr>
            </w:pPr>
            <w:r w:rsidRPr="37D35C3F" w:rsidR="00DB4122">
              <w:rPr>
                <w:color w:val="auto"/>
                <w:highlight w:val="yellow"/>
                <w:lang w:val="en-GB"/>
              </w:rPr>
              <w:t>[Insert name]</w:t>
            </w:r>
          </w:p>
        </w:tc>
      </w:tr>
    </w:tbl>
    <w:p w:rsidR="00294DA8" w:rsidP="37D35C3F" w:rsidRDefault="00294DA8" w14:paraId="27E864F0" w14:textId="77777777">
      <w:pPr>
        <w:spacing w:after="0"/>
        <w:rPr>
          <w:color w:val="auto"/>
        </w:rPr>
      </w:pPr>
    </w:p>
    <w:p w:rsidR="00294DA8" w:rsidP="37D35C3F" w:rsidRDefault="00294DA8" w14:paraId="19751FEF" w14:textId="77777777">
      <w:pPr>
        <w:spacing w:after="0"/>
        <w:rPr>
          <w:color w:val="auto"/>
        </w:rPr>
      </w:pPr>
      <w:r w:rsidRPr="37D35C3F" w:rsidR="00294DA8">
        <w:rPr>
          <w:color w:val="auto"/>
        </w:rPr>
        <w:t>The Named Senior Leader will oversee the implementation, monitoring and review of this policy and ensure that lessons learned from allergic reactions, serious incidents and near misses are considered. The operational lead and deputy will support day-to-day allergy and anaphylaxis arrangements.</w:t>
      </w:r>
    </w:p>
    <w:p w:rsidR="00294DA8" w:rsidP="37D35C3F" w:rsidRDefault="00294DA8" w14:paraId="3D56D802" w14:textId="77777777">
      <w:pPr>
        <w:spacing w:after="0"/>
        <w:rPr>
          <w:color w:val="auto"/>
        </w:rPr>
      </w:pPr>
    </w:p>
    <w:p w:rsidRPr="00217E59" w:rsidR="00294DA8" w:rsidP="37D35C3F" w:rsidRDefault="00294DA8" w14:paraId="1329BEA0" w14:textId="47A9A9CE">
      <w:pPr>
        <w:spacing w:after="0"/>
        <w:rPr>
          <w:color w:val="auto"/>
        </w:rPr>
      </w:pPr>
      <w:r w:rsidRPr="37D35C3F" w:rsidR="00294DA8">
        <w:rPr>
          <w:color w:val="auto"/>
        </w:rPr>
        <w:t>Where a named governor or trustee is appointed, they will provide additional oversight and challenge in line with the school’s governance arrangements.</w:t>
      </w:r>
    </w:p>
    <w:p w:rsidRPr="004E5F0F" w:rsidR="00AB66DB" w:rsidP="37D35C3F" w:rsidRDefault="00D03085" w14:paraId="7B170EA5" w14:textId="681C4674">
      <w:pPr>
        <w:pStyle w:val="Heading1"/>
        <w:spacing w:before="240" w:line="360" w:lineRule="auto"/>
        <w:rPr>
          <w:color w:val="auto"/>
        </w:rPr>
      </w:pPr>
      <w:r w:rsidRPr="37D35C3F" w:rsidR="00D03085">
        <w:rPr>
          <w:rFonts w:ascii="Arial" w:hAnsi="Arial" w:eastAsia="Arial"/>
          <w:color w:val="auto"/>
        </w:rPr>
        <w:t>Named allergy and anaphylaxis leads</w:t>
      </w:r>
    </w:p>
    <w:p w:rsidR="00AB66DB" w:rsidP="37D35C3F" w:rsidRDefault="00D07995" w14:paraId="791C71C7" w14:textId="269167B8">
      <w:pPr>
        <w:rPr>
          <w:color w:val="auto"/>
        </w:rPr>
      </w:pPr>
      <w:r w:rsidRPr="37D35C3F" w:rsidR="00D07995">
        <w:rPr>
          <w:color w:val="auto"/>
        </w:rPr>
        <w:t>The school will identify an Allergy and Anaphylaxis Operational Lead and Deputy Lead to support the day-to-day coordination of allergy and anaphylaxis arrangements. These roles will operate under the oversight of the Named Senior Leader responsible for allergy safety</w:t>
      </w:r>
    </w:p>
    <w:tbl>
      <w:tblPr>
        <w:tblStyle w:val="TableGrid"/>
        <w:tblW w:w="0" w:type="auto"/>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Look w:val="04A0" w:firstRow="1" w:lastRow="0" w:firstColumn="1" w:lastColumn="0" w:noHBand="0" w:noVBand="1"/>
      </w:tblPr>
      <w:tblGrid>
        <w:gridCol w:w="3320"/>
        <w:gridCol w:w="3320"/>
        <w:gridCol w:w="3322"/>
      </w:tblGrid>
      <w:tr w:rsidRPr="009052F5" w:rsidR="00AB66DB" w:rsidTr="37D35C3F" w14:paraId="00423D6B" w14:textId="77777777">
        <w:trPr>
          <w:trHeight w:val="533"/>
        </w:trPr>
        <w:tc>
          <w:tcPr>
            <w:tcW w:w="3320" w:type="dxa"/>
            <w:shd w:val="clear" w:color="auto" w:fill="E3F1ED" w:themeFill="accent3" w:themeFillTint="33"/>
            <w:tcMar/>
            <w:vAlign w:val="center"/>
          </w:tcPr>
          <w:p w:rsidRPr="009052F5" w:rsidR="00AB66DB" w:rsidP="37D35C3F" w:rsidRDefault="00D03085" w14:paraId="0D909AED" w14:textId="77777777">
            <w:pPr>
              <w:rPr>
                <w:color w:val="auto"/>
                <w:highlight w:val="yellow"/>
              </w:rPr>
            </w:pPr>
            <w:r w:rsidRPr="37D35C3F" w:rsidR="00D03085">
              <w:rPr>
                <w:b w:val="1"/>
                <w:bCs w:val="1"/>
                <w:color w:val="auto"/>
                <w:highlight w:val="yellow"/>
              </w:rPr>
              <w:t>Name</w:t>
            </w:r>
          </w:p>
        </w:tc>
        <w:tc>
          <w:tcPr>
            <w:tcW w:w="3320" w:type="dxa"/>
            <w:shd w:val="clear" w:color="auto" w:fill="E3F1ED" w:themeFill="accent3" w:themeFillTint="33"/>
            <w:tcMar/>
            <w:vAlign w:val="center"/>
          </w:tcPr>
          <w:p w:rsidRPr="009052F5" w:rsidR="00AB66DB" w:rsidP="37D35C3F" w:rsidRDefault="00D03085" w14:paraId="7810568A" w14:textId="77777777">
            <w:pPr>
              <w:rPr>
                <w:color w:val="auto"/>
                <w:highlight w:val="yellow"/>
              </w:rPr>
            </w:pPr>
            <w:r w:rsidRPr="37D35C3F" w:rsidR="00D03085">
              <w:rPr>
                <w:b w:val="1"/>
                <w:bCs w:val="1"/>
                <w:color w:val="auto"/>
                <w:highlight w:val="yellow"/>
              </w:rPr>
              <w:t>Role</w:t>
            </w:r>
          </w:p>
        </w:tc>
        <w:tc>
          <w:tcPr>
            <w:tcW w:w="3322" w:type="dxa"/>
            <w:shd w:val="clear" w:color="auto" w:fill="E3F1ED" w:themeFill="accent3" w:themeFillTint="33"/>
            <w:tcMar/>
            <w:vAlign w:val="center"/>
          </w:tcPr>
          <w:p w:rsidRPr="009052F5" w:rsidR="00AB66DB" w:rsidP="37D35C3F" w:rsidRDefault="00D03085" w14:paraId="2AD40A83" w14:textId="77777777">
            <w:pPr>
              <w:rPr>
                <w:color w:val="auto"/>
                <w:highlight w:val="yellow"/>
              </w:rPr>
            </w:pPr>
            <w:r w:rsidRPr="37D35C3F" w:rsidR="00D03085">
              <w:rPr>
                <w:b w:val="1"/>
                <w:bCs w:val="1"/>
                <w:color w:val="auto"/>
                <w:highlight w:val="yellow"/>
              </w:rPr>
              <w:t>Responsibilities</w:t>
            </w:r>
          </w:p>
        </w:tc>
      </w:tr>
      <w:tr w:rsidRPr="009052F5" w:rsidR="008E3BE3" w:rsidTr="37D35C3F" w14:paraId="2DF73E26" w14:textId="77777777">
        <w:trPr>
          <w:trHeight w:val="1871"/>
        </w:trPr>
        <w:tc>
          <w:tcPr>
            <w:tcW w:w="3320" w:type="dxa"/>
            <w:tcMar/>
            <w:vAlign w:val="center"/>
          </w:tcPr>
          <w:p w:rsidRPr="009052F5" w:rsidR="008E3BE3" w:rsidP="37D35C3F" w:rsidRDefault="008E3BE3" w14:paraId="364B408C" w14:textId="0F243F40">
            <w:pPr>
              <w:rPr>
                <w:color w:val="auto" w:themeColor="accent1" w:themeShade="BF"/>
                <w:highlight w:val="yellow"/>
              </w:rPr>
            </w:pPr>
            <w:r w:rsidRPr="37D35C3F" w:rsidR="5F71EF1C">
              <w:rPr>
                <w:color w:val="auto"/>
                <w:highlight w:val="yellow"/>
              </w:rPr>
              <w:t>[Insert name</w:t>
            </w:r>
            <w:r w:rsidRPr="37D35C3F" w:rsidR="449B5247">
              <w:rPr>
                <w:color w:val="auto"/>
                <w:highlight w:val="yellow"/>
              </w:rPr>
              <w:t xml:space="preserve"> and role</w:t>
            </w:r>
            <w:r w:rsidRPr="37D35C3F" w:rsidR="5F71EF1C">
              <w:rPr>
                <w:color w:val="auto"/>
                <w:highlight w:val="yellow"/>
              </w:rPr>
              <w:t>]</w:t>
            </w:r>
          </w:p>
        </w:tc>
        <w:tc>
          <w:tcPr>
            <w:tcW w:w="3320" w:type="dxa"/>
            <w:tcMar/>
            <w:vAlign w:val="center"/>
          </w:tcPr>
          <w:p w:rsidRPr="009052F5" w:rsidR="008E3BE3" w:rsidP="37D35C3F" w:rsidRDefault="00954217" w14:paraId="50A607BB" w14:textId="762CC601">
            <w:pPr>
              <w:rPr>
                <w:color w:val="auto" w:themeColor="text1"/>
                <w:highlight w:val="yellow"/>
              </w:rPr>
            </w:pPr>
            <w:r w:rsidRPr="37D35C3F" w:rsidR="449B5247">
              <w:rPr>
                <w:color w:val="auto"/>
                <w:highlight w:val="yellow"/>
              </w:rPr>
              <w:t>Allergy and Anaphylaxis Operational Lead</w:t>
            </w:r>
          </w:p>
        </w:tc>
        <w:tc>
          <w:tcPr>
            <w:tcW w:w="3322" w:type="dxa"/>
            <w:tcMar/>
            <w:vAlign w:val="center"/>
          </w:tcPr>
          <w:p w:rsidRPr="009052F5" w:rsidR="008E3BE3" w:rsidP="37D35C3F" w:rsidRDefault="00945E34" w14:paraId="502F47A6" w14:textId="67520F3F">
            <w:pPr>
              <w:rPr>
                <w:color w:val="auto"/>
                <w:highlight w:val="yellow"/>
              </w:rPr>
            </w:pPr>
            <w:r w:rsidRPr="37D35C3F" w:rsidR="7707EAE5">
              <w:rPr>
                <w:color w:val="auto"/>
                <w:highlight w:val="yellow"/>
              </w:rPr>
              <w:t>Coordinate the allergy register, staff training records, medication and AAI checks, communication with relevant staff, policy review support and incident learning.</w:t>
            </w:r>
          </w:p>
        </w:tc>
      </w:tr>
      <w:tr w:rsidR="008E3BE3" w:rsidTr="37D35C3F" w14:paraId="1AA525A5" w14:textId="77777777">
        <w:trPr>
          <w:trHeight w:val="1895"/>
        </w:trPr>
        <w:tc>
          <w:tcPr>
            <w:tcW w:w="3320" w:type="dxa"/>
            <w:tcMar/>
            <w:vAlign w:val="center"/>
          </w:tcPr>
          <w:p w:rsidRPr="009052F5" w:rsidR="008E3BE3" w:rsidP="37D35C3F" w:rsidRDefault="008E3BE3" w14:paraId="6D8B2B1A" w14:textId="51BE2EE2">
            <w:pPr>
              <w:rPr>
                <w:color w:val="auto" w:themeColor="accent1" w:themeShade="BF"/>
                <w:highlight w:val="yellow"/>
              </w:rPr>
            </w:pPr>
            <w:r w:rsidRPr="37D35C3F" w:rsidR="5F71EF1C">
              <w:rPr>
                <w:color w:val="auto"/>
                <w:highlight w:val="yellow"/>
              </w:rPr>
              <w:t>[Insert name</w:t>
            </w:r>
            <w:r w:rsidRPr="37D35C3F" w:rsidR="449B5247">
              <w:rPr>
                <w:color w:val="auto"/>
                <w:highlight w:val="yellow"/>
              </w:rPr>
              <w:t xml:space="preserve"> and role</w:t>
            </w:r>
            <w:r w:rsidRPr="37D35C3F" w:rsidR="5F71EF1C">
              <w:rPr>
                <w:color w:val="auto"/>
                <w:highlight w:val="yellow"/>
              </w:rPr>
              <w:t>]</w:t>
            </w:r>
          </w:p>
        </w:tc>
        <w:tc>
          <w:tcPr>
            <w:tcW w:w="3320" w:type="dxa"/>
            <w:tcMar/>
            <w:vAlign w:val="center"/>
          </w:tcPr>
          <w:p w:rsidRPr="009052F5" w:rsidR="008E3BE3" w:rsidP="37D35C3F" w:rsidRDefault="00954217" w14:paraId="200D7A2F" w14:textId="56BEB322">
            <w:pPr>
              <w:rPr>
                <w:color w:val="auto" w:themeColor="text1"/>
                <w:highlight w:val="yellow"/>
              </w:rPr>
            </w:pPr>
            <w:r w:rsidRPr="37D35C3F" w:rsidR="449B5247">
              <w:rPr>
                <w:color w:val="auto"/>
                <w:highlight w:val="yellow"/>
              </w:rPr>
              <w:t>Deputy Allergy and Anaphylaxis Lead</w:t>
            </w:r>
          </w:p>
        </w:tc>
        <w:tc>
          <w:tcPr>
            <w:tcW w:w="3322" w:type="dxa"/>
            <w:tcMar/>
            <w:vAlign w:val="center"/>
          </w:tcPr>
          <w:p w:rsidR="008E3BE3" w:rsidP="37D35C3F" w:rsidRDefault="00945E34" w14:paraId="0C642E1D" w14:textId="4CAC2B50">
            <w:pPr>
              <w:rPr>
                <w:color w:val="auto"/>
                <w:highlight w:val="yellow"/>
                <w:lang w:val="en-GB"/>
              </w:rPr>
            </w:pPr>
            <w:r w:rsidRPr="37D35C3F" w:rsidR="7707EAE5">
              <w:rPr>
                <w:color w:val="auto"/>
                <w:highlight w:val="yellow"/>
                <w:lang w:val="en-GB"/>
              </w:rPr>
              <w:t>Support the operational lead and provide cover for key allergy and anaphylaxis arrangements where required.</w:t>
            </w:r>
          </w:p>
        </w:tc>
      </w:tr>
    </w:tbl>
    <w:p w:rsidR="00AB66DB" w:rsidP="37D35C3F" w:rsidRDefault="00D03085" w14:paraId="672A6659" w14:textId="77777777">
      <w:pPr>
        <w:rPr>
          <w:color w:val="auto"/>
        </w:rPr>
      </w:pPr>
      <w:r w:rsidRPr="37D35C3F">
        <w:rPr>
          <w:color w:val="auto"/>
        </w:rPr>
        <w:br w:type="page"/>
      </w:r>
    </w:p>
    <w:p w:rsidRPr="00775D4E" w:rsidR="00AB66DB" w:rsidP="37D35C3F" w:rsidRDefault="00D03085" w14:paraId="551073C4" w14:textId="77777777">
      <w:pPr>
        <w:pStyle w:val="Heading1"/>
        <w:spacing w:line="360" w:lineRule="auto"/>
        <w:rPr>
          <w:color w:val="auto"/>
        </w:rPr>
      </w:pPr>
      <w:r w:rsidRPr="37D35C3F" w:rsidR="00D03085">
        <w:rPr>
          <w:rFonts w:ascii="Arial" w:hAnsi="Arial" w:eastAsia="Arial"/>
          <w:color w:val="auto"/>
        </w:rPr>
        <w:t>1. Statement of intent</w:t>
      </w:r>
    </w:p>
    <w:p w:rsidRPr="009C2006" w:rsidR="009C2006" w:rsidP="37D35C3F" w:rsidRDefault="009C2006" w14:paraId="34603C5F" w14:textId="5B29BF78">
      <w:pPr>
        <w:rPr>
          <w:color w:val="auto" w:themeColor="text1"/>
        </w:rPr>
      </w:pPr>
      <w:r w:rsidRPr="37D35C3F" w:rsidR="009C2006">
        <w:rPr>
          <w:color w:val="auto"/>
          <w:highlight w:val="yellow"/>
        </w:rPr>
        <w:t>[Insert school name]</w:t>
      </w:r>
      <w:r w:rsidRPr="37D35C3F" w:rsidR="009C2006">
        <w:rPr>
          <w:color w:val="auto"/>
        </w:rPr>
        <w:t xml:space="preserve"> </w:t>
      </w:r>
      <w:r w:rsidRPr="37D35C3F" w:rsidR="009C2006">
        <w:rPr>
          <w:color w:val="auto"/>
        </w:rPr>
        <w:t>is committed to supporting pupils with allergies so that they can participate in school life as fully and safely as possible. Allergies will be taken seriously and managed through a whole-school allergy safety approach that reduces the risk of exposure to known allergens, supports inclusion and wellbeing, promotes appropriate awareness, and enables a prompt response in an emergency.</w:t>
      </w:r>
    </w:p>
    <w:p w:rsidRPr="009C2006" w:rsidR="009C2006" w:rsidP="37D35C3F" w:rsidRDefault="009C2006" w14:paraId="6675865E" w14:textId="77777777">
      <w:pPr>
        <w:rPr>
          <w:color w:val="auto" w:themeColor="text1"/>
        </w:rPr>
      </w:pPr>
      <w:r w:rsidRPr="37D35C3F" w:rsidR="009C2006">
        <w:rPr>
          <w:color w:val="auto"/>
        </w:rPr>
        <w:t>The purpose of this policy is to:</w:t>
      </w:r>
    </w:p>
    <w:p w:rsidRPr="009C2006" w:rsidR="009C2006" w:rsidP="37D35C3F" w:rsidRDefault="009C2006" w14:paraId="28EB080F" w14:textId="67902EF3">
      <w:pPr>
        <w:pStyle w:val="ListParagraph"/>
        <w:numPr>
          <w:ilvl w:val="0"/>
          <w:numId w:val="9"/>
        </w:numPr>
        <w:rPr>
          <w:color w:val="auto" w:themeColor="text1"/>
        </w:rPr>
      </w:pPr>
      <w:r w:rsidRPr="37D35C3F" w:rsidR="009C2006">
        <w:rPr>
          <w:color w:val="auto"/>
        </w:rPr>
        <w:t>reduce the risk of allergic reactions and anaphylaxis while pupils are at school or taking part in school-related activities</w:t>
      </w:r>
    </w:p>
    <w:p w:rsidRPr="009C2006" w:rsidR="009C2006" w:rsidP="37D35C3F" w:rsidRDefault="009C2006" w14:paraId="5BA0F659" w14:textId="31E4098F">
      <w:pPr>
        <w:pStyle w:val="ListParagraph"/>
        <w:numPr>
          <w:ilvl w:val="0"/>
          <w:numId w:val="9"/>
        </w:numPr>
        <w:rPr>
          <w:color w:val="auto" w:themeColor="text1"/>
        </w:rPr>
      </w:pPr>
      <w:r w:rsidRPr="37D35C3F" w:rsidR="009C2006">
        <w:rPr>
          <w:color w:val="auto"/>
        </w:rPr>
        <w:t xml:space="preserve">ensure staff know how to </w:t>
      </w:r>
      <w:r w:rsidRPr="37D35C3F" w:rsidR="009C2006">
        <w:rPr>
          <w:color w:val="auto"/>
        </w:rPr>
        <w:t>recognise</w:t>
      </w:r>
      <w:r w:rsidRPr="37D35C3F" w:rsidR="009C2006">
        <w:rPr>
          <w:color w:val="auto"/>
        </w:rPr>
        <w:t xml:space="preserve"> allergic reactions and anaphylaxis, and how to respond in an emergency</w:t>
      </w:r>
    </w:p>
    <w:p w:rsidRPr="009C2006" w:rsidR="009C2006" w:rsidP="37D35C3F" w:rsidRDefault="009C2006" w14:paraId="49179870" w14:textId="1043E917">
      <w:pPr>
        <w:pStyle w:val="ListParagraph"/>
        <w:numPr>
          <w:ilvl w:val="0"/>
          <w:numId w:val="9"/>
        </w:numPr>
        <w:rPr>
          <w:color w:val="auto" w:themeColor="text1"/>
        </w:rPr>
      </w:pPr>
      <w:r w:rsidRPr="37D35C3F" w:rsidR="009C2006">
        <w:rPr>
          <w:color w:val="auto"/>
        </w:rPr>
        <w:t>set out arrangements for Allergy Action Plans, Individual Healthcare Plans, Individual Allergy Risk Assessments where required, prescribed medication, spare adrenaline auto-injectors and emergency response</w:t>
      </w:r>
    </w:p>
    <w:p w:rsidRPr="009C2006" w:rsidR="009C2006" w:rsidP="37D35C3F" w:rsidRDefault="009C2006" w14:paraId="293FCDF1" w14:textId="5A85E005">
      <w:pPr>
        <w:pStyle w:val="ListParagraph"/>
        <w:numPr>
          <w:ilvl w:val="0"/>
          <w:numId w:val="9"/>
        </w:numPr>
        <w:rPr>
          <w:color w:val="auto" w:themeColor="text1"/>
        </w:rPr>
      </w:pPr>
      <w:r w:rsidRPr="37D35C3F" w:rsidR="009C2006">
        <w:rPr>
          <w:color w:val="auto"/>
        </w:rPr>
        <w:t>promote inclusion, wellbeing and reasonable adjustments for pupils with allergies</w:t>
      </w:r>
    </w:p>
    <w:p w:rsidRPr="009C2006" w:rsidR="009C2006" w:rsidP="37D35C3F" w:rsidRDefault="009C2006" w14:paraId="0FCC5472" w14:textId="68F2FE50">
      <w:pPr>
        <w:pStyle w:val="ListParagraph"/>
        <w:numPr>
          <w:ilvl w:val="0"/>
          <w:numId w:val="9"/>
        </w:numPr>
        <w:rPr>
          <w:color w:val="auto" w:themeColor="text1"/>
        </w:rPr>
      </w:pPr>
      <w:r w:rsidRPr="37D35C3F" w:rsidR="009C2006">
        <w:rPr>
          <w:color w:val="auto"/>
        </w:rPr>
        <w:t>provide clarity for staff, parents/carers, pupils, governors/trustees and catering providers about roles and responsibilities</w:t>
      </w:r>
    </w:p>
    <w:p w:rsidRPr="009C2006" w:rsidR="009C2006" w:rsidP="37D35C3F" w:rsidRDefault="009C2006" w14:paraId="2CD04E3D" w14:textId="3C0041C6">
      <w:pPr>
        <w:pStyle w:val="ListParagraph"/>
        <w:numPr>
          <w:ilvl w:val="0"/>
          <w:numId w:val="9"/>
        </w:numPr>
        <w:rPr>
          <w:color w:val="auto" w:themeColor="text1"/>
        </w:rPr>
      </w:pPr>
      <w:r w:rsidRPr="37D35C3F" w:rsidR="009C2006">
        <w:rPr>
          <w:color w:val="auto"/>
        </w:rPr>
        <w:t>ensure allergic reactions, serious incidents and near misses are recorded, reviewed and used to improve arrangements</w:t>
      </w:r>
    </w:p>
    <w:p w:rsidR="009C2006" w:rsidP="37D35C3F" w:rsidRDefault="009C2006" w14:paraId="4CFA24A5" w14:textId="6CF9525A">
      <w:pPr>
        <w:pStyle w:val="ListParagraph"/>
        <w:numPr>
          <w:ilvl w:val="0"/>
          <w:numId w:val="9"/>
        </w:numPr>
        <w:rPr>
          <w:color w:val="auto" w:themeColor="text1"/>
        </w:rPr>
      </w:pPr>
      <w:r w:rsidRPr="37D35C3F" w:rsidR="009C2006">
        <w:rPr>
          <w:color w:val="auto"/>
        </w:rPr>
        <w:t>support the school to meet relevant allergy safety, medical needs, safeguarding, equality and health and safety responsibilities.</w:t>
      </w:r>
    </w:p>
    <w:p w:rsidR="003E6AF5" w:rsidP="37D35C3F" w:rsidRDefault="003E6AF5" w14:paraId="4A81A474" w14:textId="0792A552">
      <w:pPr>
        <w:rPr>
          <w:color w:val="auto" w:themeColor="text1"/>
        </w:rPr>
      </w:pPr>
      <w:r w:rsidRPr="37D35C3F" w:rsidR="003E6AF5">
        <w:rPr>
          <w:color w:val="auto"/>
        </w:rPr>
        <w:t>This Statement of Intent and the accompanying Allergy and Anaphylaxis Policy have been adopted by the school and approved through its local governance arrangements.</w:t>
      </w:r>
    </w:p>
    <w:tbl>
      <w:tblPr>
        <w:tblStyle w:val="TableGrid1"/>
        <w:tblW w:w="91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59"/>
        <w:gridCol w:w="2251"/>
        <w:gridCol w:w="2803"/>
        <w:gridCol w:w="1092"/>
      </w:tblGrid>
      <w:tr w:rsidRPr="00B23C85" w:rsidR="00B23C85" w:rsidTr="37D35C3F" w14:paraId="7C47D3DF" w14:textId="77777777">
        <w:trPr>
          <w:trHeight w:val="53"/>
        </w:trPr>
        <w:tc>
          <w:tcPr>
            <w:tcW w:w="2959" w:type="dxa"/>
            <w:tcMar/>
          </w:tcPr>
          <w:p w:rsidRPr="009052F5" w:rsidR="00B23C85" w:rsidP="37D35C3F" w:rsidRDefault="00B23C85" w14:paraId="1EADE958" w14:textId="77777777">
            <w:pPr>
              <w:rPr>
                <w:rFonts w:eastAsia="Calibri" w:cs="Arial"/>
                <w:i w:val="1"/>
                <w:iCs w:val="1"/>
                <w:color w:val="auto"/>
                <w:spacing w:val="5"/>
                <w:highlight w:val="yellow"/>
              </w:rPr>
            </w:pPr>
            <w:r w:rsidRPr="37D35C3F" w:rsidR="0DD448C8">
              <w:rPr>
                <w:rFonts w:eastAsia="Calibri" w:cs="Arial"/>
                <w:i w:val="1"/>
                <w:iCs w:val="1"/>
                <w:color w:val="auto"/>
                <w:spacing w:val="5"/>
                <w:highlight w:val="yellow"/>
              </w:rPr>
              <w:t xml:space="preserve">Role </w:t>
            </w:r>
          </w:p>
        </w:tc>
        <w:tc>
          <w:tcPr>
            <w:tcW w:w="2251" w:type="dxa"/>
            <w:tcMar/>
          </w:tcPr>
          <w:p w:rsidRPr="009052F5" w:rsidR="00B23C85" w:rsidP="37D35C3F" w:rsidRDefault="00B23C85" w14:paraId="10DD9F60" w14:textId="77777777">
            <w:pPr>
              <w:rPr>
                <w:rFonts w:eastAsia="Calibri" w:cs="Arial"/>
                <w:i w:val="1"/>
                <w:iCs w:val="1"/>
                <w:color w:val="auto"/>
                <w:spacing w:val="5"/>
                <w:highlight w:val="yellow"/>
              </w:rPr>
            </w:pPr>
            <w:r w:rsidRPr="37D35C3F" w:rsidR="0DD448C8">
              <w:rPr>
                <w:rFonts w:eastAsia="Calibri" w:cs="Arial"/>
                <w:i w:val="1"/>
                <w:iCs w:val="1"/>
                <w:color w:val="auto"/>
                <w:spacing w:val="5"/>
                <w:highlight w:val="yellow"/>
              </w:rPr>
              <w:t>Name</w:t>
            </w:r>
          </w:p>
        </w:tc>
        <w:tc>
          <w:tcPr>
            <w:tcW w:w="2803" w:type="dxa"/>
            <w:tcMar/>
          </w:tcPr>
          <w:p w:rsidRPr="00B23C85" w:rsidR="00B23C85" w:rsidP="37D35C3F" w:rsidRDefault="00B23C85" w14:paraId="2137E784" w14:textId="77777777">
            <w:pPr>
              <w:rPr>
                <w:rFonts w:eastAsia="Calibri" w:cs="Arial"/>
                <w:i w:val="1"/>
                <w:iCs w:val="1"/>
                <w:color w:val="auto"/>
                <w:spacing w:val="5"/>
              </w:rPr>
            </w:pPr>
            <w:r w:rsidRPr="37D35C3F" w:rsidR="0DD448C8">
              <w:rPr>
                <w:rFonts w:eastAsia="Calibri" w:cs="Arial"/>
                <w:i w:val="1"/>
                <w:iCs w:val="1"/>
                <w:color w:val="auto"/>
                <w:spacing w:val="5"/>
              </w:rPr>
              <w:t>Signature</w:t>
            </w:r>
          </w:p>
        </w:tc>
        <w:tc>
          <w:tcPr>
            <w:tcW w:w="1092" w:type="dxa"/>
            <w:tcMar/>
          </w:tcPr>
          <w:p w:rsidRPr="00B23C85" w:rsidR="00B23C85" w:rsidP="37D35C3F" w:rsidRDefault="00B23C85" w14:paraId="78B96AEC" w14:textId="77777777">
            <w:pPr>
              <w:rPr>
                <w:rFonts w:eastAsia="Calibri" w:cs="Arial"/>
                <w:i w:val="1"/>
                <w:iCs w:val="1"/>
                <w:color w:val="auto"/>
                <w:spacing w:val="5"/>
              </w:rPr>
            </w:pPr>
            <w:r w:rsidRPr="37D35C3F" w:rsidR="0DD448C8">
              <w:rPr>
                <w:rFonts w:eastAsia="Calibri" w:cs="Arial"/>
                <w:i w:val="1"/>
                <w:iCs w:val="1"/>
                <w:color w:val="auto"/>
                <w:spacing w:val="5"/>
              </w:rPr>
              <w:t>Date</w:t>
            </w:r>
          </w:p>
        </w:tc>
      </w:tr>
      <w:tr w:rsidRPr="00B23C85" w:rsidR="00B23C85" w:rsidTr="37D35C3F" w14:paraId="61B87132" w14:textId="77777777">
        <w:trPr>
          <w:trHeight w:val="1106"/>
        </w:trPr>
        <w:tc>
          <w:tcPr>
            <w:tcW w:w="2959" w:type="dxa"/>
            <w:tcMar/>
            <w:vAlign w:val="center"/>
          </w:tcPr>
          <w:p w:rsidRPr="009052F5" w:rsidR="00B23C85" w:rsidP="37D35C3F" w:rsidRDefault="00B23C85" w14:paraId="6A9800D4" w14:textId="77777777">
            <w:pPr>
              <w:rPr>
                <w:rFonts w:eastAsia="Calibri" w:cs="Arial"/>
                <w:b w:val="1"/>
                <w:bCs w:val="1"/>
                <w:i w:val="1"/>
                <w:iCs w:val="1"/>
                <w:color w:val="auto"/>
                <w:spacing w:val="5"/>
                <w:highlight w:val="yellow"/>
              </w:rPr>
            </w:pPr>
            <w:r w:rsidRPr="37D35C3F" w:rsidR="0DD448C8">
              <w:rPr>
                <w:rFonts w:eastAsia="Calibri" w:cs="Arial"/>
                <w:color w:val="auto"/>
                <w:highlight w:val="yellow"/>
              </w:rPr>
              <w:t>Headteacher</w:t>
            </w:r>
          </w:p>
        </w:tc>
        <w:tc>
          <w:tcPr>
            <w:tcW w:w="2251" w:type="dxa"/>
            <w:tcMar/>
            <w:vAlign w:val="center"/>
          </w:tcPr>
          <w:p w:rsidRPr="009052F5" w:rsidR="00B23C85" w:rsidP="37D35C3F" w:rsidRDefault="00B23C85" w14:paraId="6464B7BB" w14:textId="77777777">
            <w:pPr>
              <w:rPr>
                <w:rFonts w:eastAsia="Calibri" w:cs="Arial"/>
                <w:b w:val="1"/>
                <w:bCs w:val="1"/>
                <w:i w:val="1"/>
                <w:iCs w:val="1"/>
                <w:color w:val="auto"/>
                <w:spacing w:val="5"/>
                <w:highlight w:val="yellow"/>
              </w:rPr>
            </w:pPr>
          </w:p>
        </w:tc>
        <w:tc>
          <w:tcPr>
            <w:tcW w:w="2803" w:type="dxa"/>
            <w:tcMar/>
            <w:vAlign w:val="center"/>
          </w:tcPr>
          <w:p w:rsidRPr="00B23C85" w:rsidR="00B23C85" w:rsidP="37D35C3F" w:rsidRDefault="00B23C85" w14:paraId="06E95E4C" w14:textId="77777777">
            <w:pPr>
              <w:rPr>
                <w:rFonts w:eastAsia="Calibri" w:cs="Arial"/>
                <w:b w:val="1"/>
                <w:bCs w:val="1"/>
                <w:i w:val="1"/>
                <w:iCs w:val="1"/>
                <w:color w:val="auto"/>
                <w:spacing w:val="5"/>
              </w:rPr>
            </w:pPr>
          </w:p>
        </w:tc>
        <w:tc>
          <w:tcPr>
            <w:tcW w:w="1092" w:type="dxa"/>
            <w:tcMar/>
            <w:vAlign w:val="center"/>
          </w:tcPr>
          <w:p w:rsidRPr="00B23C85" w:rsidR="00B23C85" w:rsidP="37D35C3F" w:rsidRDefault="00B23C85" w14:paraId="41D34986" w14:textId="77777777">
            <w:pPr>
              <w:rPr>
                <w:rFonts w:eastAsia="Calibri" w:cs="Arial"/>
                <w:b w:val="1"/>
                <w:bCs w:val="1"/>
                <w:i w:val="1"/>
                <w:iCs w:val="1"/>
                <w:color w:val="auto"/>
                <w:spacing w:val="5"/>
              </w:rPr>
            </w:pPr>
          </w:p>
        </w:tc>
      </w:tr>
      <w:tr w:rsidRPr="00B23C85" w:rsidR="00B23C85" w:rsidTr="37D35C3F" w14:paraId="2B854CD1" w14:textId="77777777">
        <w:trPr>
          <w:trHeight w:val="995"/>
        </w:trPr>
        <w:tc>
          <w:tcPr>
            <w:tcW w:w="2959" w:type="dxa"/>
            <w:tcMar/>
            <w:vAlign w:val="center"/>
          </w:tcPr>
          <w:p w:rsidRPr="009052F5" w:rsidR="00B23C85" w:rsidP="37D35C3F" w:rsidRDefault="00B23C85" w14:paraId="7BDB6AFE" w14:textId="77777777">
            <w:pPr>
              <w:rPr>
                <w:rFonts w:eastAsia="Calibri" w:cs="Arial"/>
                <w:b w:val="1"/>
                <w:bCs w:val="1"/>
                <w:i w:val="1"/>
                <w:iCs w:val="1"/>
                <w:color w:val="auto"/>
                <w:spacing w:val="5"/>
                <w:highlight w:val="yellow"/>
              </w:rPr>
            </w:pPr>
            <w:r w:rsidRPr="37D35C3F" w:rsidR="0DD448C8">
              <w:rPr>
                <w:rFonts w:eastAsia="Calibri" w:cs="Arial"/>
                <w:color w:val="auto"/>
                <w:highlight w:val="yellow"/>
              </w:rPr>
              <w:t>Chair of Governors</w:t>
            </w:r>
          </w:p>
        </w:tc>
        <w:tc>
          <w:tcPr>
            <w:tcW w:w="2251" w:type="dxa"/>
            <w:tcMar/>
            <w:vAlign w:val="center"/>
          </w:tcPr>
          <w:p w:rsidRPr="009052F5" w:rsidR="00B23C85" w:rsidP="37D35C3F" w:rsidRDefault="00B23C85" w14:paraId="2BA49EB1" w14:textId="77777777">
            <w:pPr>
              <w:rPr>
                <w:rFonts w:eastAsia="Calibri" w:cs="Arial"/>
                <w:b w:val="1"/>
                <w:bCs w:val="1"/>
                <w:i w:val="1"/>
                <w:iCs w:val="1"/>
                <w:color w:val="auto"/>
                <w:spacing w:val="5"/>
                <w:highlight w:val="yellow"/>
              </w:rPr>
            </w:pPr>
          </w:p>
        </w:tc>
        <w:tc>
          <w:tcPr>
            <w:tcW w:w="2803" w:type="dxa"/>
            <w:tcMar/>
            <w:vAlign w:val="center"/>
          </w:tcPr>
          <w:p w:rsidRPr="00B23C85" w:rsidR="00B23C85" w:rsidP="37D35C3F" w:rsidRDefault="00B23C85" w14:paraId="6568AF0F" w14:textId="77777777">
            <w:pPr>
              <w:rPr>
                <w:rFonts w:eastAsia="Calibri" w:cs="Arial"/>
                <w:b w:val="1"/>
                <w:bCs w:val="1"/>
                <w:i w:val="1"/>
                <w:iCs w:val="1"/>
                <w:color w:val="auto"/>
                <w:spacing w:val="5"/>
              </w:rPr>
            </w:pPr>
          </w:p>
        </w:tc>
        <w:tc>
          <w:tcPr>
            <w:tcW w:w="1092" w:type="dxa"/>
            <w:tcMar/>
            <w:vAlign w:val="center"/>
          </w:tcPr>
          <w:p w:rsidRPr="00B23C85" w:rsidR="00B23C85" w:rsidP="37D35C3F" w:rsidRDefault="00B23C85" w14:paraId="7C10CC94" w14:textId="77777777">
            <w:pPr>
              <w:rPr>
                <w:rFonts w:eastAsia="Calibri" w:cs="Arial"/>
                <w:b w:val="1"/>
                <w:bCs w:val="1"/>
                <w:i w:val="1"/>
                <w:iCs w:val="1"/>
                <w:color w:val="auto"/>
                <w:spacing w:val="5"/>
              </w:rPr>
            </w:pPr>
          </w:p>
        </w:tc>
      </w:tr>
    </w:tbl>
    <w:p w:rsidR="00B23C85" w:rsidP="37D35C3F" w:rsidRDefault="00B23C85" w14:paraId="2402E8E9" w14:textId="77777777">
      <w:pPr>
        <w:rPr>
          <w:color w:val="auto" w:themeColor="text1"/>
        </w:rPr>
      </w:pPr>
    </w:p>
    <w:p w:rsidR="003E6AF5" w:rsidP="37D35C3F" w:rsidRDefault="003E6AF5" w14:paraId="1FDCDE15" w14:textId="77777777">
      <w:pPr>
        <w:rPr>
          <w:color w:val="auto" w:themeColor="text1"/>
        </w:rPr>
      </w:pPr>
      <w:r w:rsidRPr="37D35C3F">
        <w:rPr>
          <w:color w:val="auto"/>
        </w:rPr>
        <w:br w:type="page"/>
      </w:r>
    </w:p>
    <w:p w:rsidRPr="00775D4E" w:rsidR="00AB66DB" w:rsidP="37D35C3F" w:rsidRDefault="00D03085" w14:paraId="2E3BAD62" w14:textId="77777777">
      <w:pPr>
        <w:pStyle w:val="Heading1"/>
        <w:spacing w:before="240" w:line="360" w:lineRule="auto"/>
        <w:rPr>
          <w:color w:val="auto"/>
        </w:rPr>
      </w:pPr>
      <w:r w:rsidRPr="37D35C3F" w:rsidR="00D03085">
        <w:rPr>
          <w:rFonts w:ascii="Arial" w:hAnsi="Arial" w:eastAsia="Arial"/>
          <w:color w:val="auto"/>
        </w:rPr>
        <w:t>2. Scope</w:t>
      </w:r>
    </w:p>
    <w:p w:rsidR="00025762" w:rsidP="37D35C3F" w:rsidRDefault="00025762" w14:paraId="706D0012" w14:textId="77777777">
      <w:pPr>
        <w:rPr>
          <w:color w:val="auto"/>
        </w:rPr>
      </w:pPr>
      <w:r w:rsidRPr="37D35C3F" w:rsidR="00025762">
        <w:rPr>
          <w:color w:val="auto"/>
        </w:rPr>
        <w:t>This policy applies to pupils with known or suspected allergies, including those at risk of anaphylaxis. It applies during the school day, on school premises, during educational visits, sporting fixtures, residential visits, breakfast clubs, after-school clubs, wraparound care, school events and other school-arranged activities.</w:t>
      </w:r>
    </w:p>
    <w:p w:rsidR="00025762" w:rsidP="37D35C3F" w:rsidRDefault="00025762" w14:paraId="02B2D6A4" w14:textId="77777777">
      <w:pPr>
        <w:rPr>
          <w:color w:val="auto"/>
        </w:rPr>
      </w:pPr>
      <w:r w:rsidRPr="37D35C3F" w:rsidR="00025762">
        <w:rPr>
          <w:color w:val="auto"/>
        </w:rPr>
        <w:t>The policy also applies to allergy safety arrangements involving staff, supply staff, volunteers, contractors, catering staff, governors/trustees, visitors and others involved in school activities where allergy management is relevant.</w:t>
      </w:r>
    </w:p>
    <w:p w:rsidR="00AF182D" w:rsidP="37D35C3F" w:rsidRDefault="00025762" w14:paraId="7E0B71A2" w14:textId="5E058B3D">
      <w:pPr>
        <w:rPr>
          <w:color w:val="auto"/>
        </w:rPr>
      </w:pPr>
      <w:r w:rsidRPr="37D35C3F" w:rsidR="00025762">
        <w:rPr>
          <w:color w:val="auto"/>
        </w:rPr>
        <w:t>This policy will be read alongside the Derbyshire County Council Supporting Pupils with Medical Needs Guidance and the school’s Administration of Medicines Policy, particularly where a pupil requires an Individual Healthcare Plan, prescribed medication, emergency medication or support with medicine administration.</w:t>
      </w:r>
    </w:p>
    <w:p w:rsidRPr="00775D4E" w:rsidR="00AB66DB" w:rsidP="37D35C3F" w:rsidRDefault="00D03085" w14:paraId="4411B514" w14:textId="77777777">
      <w:pPr>
        <w:pStyle w:val="Heading1"/>
        <w:spacing w:before="240" w:line="360" w:lineRule="auto"/>
        <w:rPr>
          <w:color w:val="auto"/>
        </w:rPr>
      </w:pPr>
      <w:r w:rsidRPr="37D35C3F" w:rsidR="00D03085">
        <w:rPr>
          <w:rFonts w:ascii="Arial" w:hAnsi="Arial" w:eastAsia="Arial"/>
          <w:color w:val="auto"/>
        </w:rPr>
        <w:t>3. Legal and guidance context</w:t>
      </w:r>
    </w:p>
    <w:p w:rsidR="00206E3E" w:rsidP="37D35C3F" w:rsidRDefault="00206E3E" w14:paraId="53208815" w14:textId="77777777">
      <w:pPr>
        <w:rPr>
          <w:color w:val="auto"/>
        </w:rPr>
      </w:pPr>
      <w:r w:rsidRPr="37D35C3F" w:rsidR="00206E3E">
        <w:rPr>
          <w:color w:val="auto"/>
        </w:rPr>
        <w:t>This policy has been developed with reference to the following legislation, statutory guidance and relevant good practice:</w:t>
      </w:r>
    </w:p>
    <w:p w:rsidR="00276192" w:rsidP="37D35C3F" w:rsidRDefault="00276192" w14:paraId="66F41F02" w14:textId="4FF708FC">
      <w:pPr>
        <w:pStyle w:val="ListParagraph"/>
        <w:numPr>
          <w:ilvl w:val="0"/>
          <w:numId w:val="8"/>
        </w:numPr>
        <w:rPr>
          <w:color w:val="auto"/>
        </w:rPr>
      </w:pPr>
      <w:r w:rsidRPr="37D35C3F" w:rsidR="00276192">
        <w:rPr>
          <w:color w:val="auto"/>
        </w:rPr>
        <w:t xml:space="preserve">Children and Families Act 2014, section 100, which requires schools to </w:t>
      </w:r>
      <w:r w:rsidRPr="37D35C3F" w:rsidR="00276192">
        <w:rPr>
          <w:color w:val="auto"/>
        </w:rPr>
        <w:t>make arrangements</w:t>
      </w:r>
      <w:r w:rsidRPr="37D35C3F" w:rsidR="00276192">
        <w:rPr>
          <w:color w:val="auto"/>
        </w:rPr>
        <w:t xml:space="preserve"> to support pupils with medical conditions.</w:t>
      </w:r>
    </w:p>
    <w:p w:rsidR="00276192" w:rsidP="37D35C3F" w:rsidRDefault="00276192" w14:paraId="3E568EE1" w14:textId="3B2B886E">
      <w:pPr>
        <w:pStyle w:val="ListParagraph"/>
        <w:numPr>
          <w:ilvl w:val="0"/>
          <w:numId w:val="8"/>
        </w:numPr>
        <w:rPr>
          <w:color w:val="auto"/>
        </w:rPr>
      </w:pPr>
      <w:r w:rsidRPr="37D35C3F" w:rsidR="00276192">
        <w:rPr>
          <w:color w:val="auto"/>
        </w:rPr>
        <w:t>Children’s Wellbeing and Schools Act 2026, section 34, which requires schools’ section 100 arrangements to include an allergy safety policy. The policy must be published, kept under review and reviewed at least annually.</w:t>
      </w:r>
    </w:p>
    <w:p w:rsidR="00276192" w:rsidP="37D35C3F" w:rsidRDefault="00276192" w14:paraId="19B430F2" w14:textId="5E078A2A">
      <w:pPr>
        <w:pStyle w:val="ListParagraph"/>
        <w:numPr>
          <w:ilvl w:val="0"/>
          <w:numId w:val="8"/>
        </w:numPr>
        <w:rPr>
          <w:color w:val="auto"/>
        </w:rPr>
      </w:pPr>
      <w:r w:rsidRPr="37D35C3F" w:rsidR="00276192">
        <w:rPr>
          <w:color w:val="auto"/>
        </w:rPr>
        <w:t>Department for Education statutory guidance: Supporting pupils at school with medical conditions.</w:t>
      </w:r>
    </w:p>
    <w:p w:rsidR="00276192" w:rsidP="37D35C3F" w:rsidRDefault="00276192" w14:paraId="30C67A46" w14:textId="23F15483">
      <w:pPr>
        <w:pStyle w:val="ListParagraph"/>
        <w:numPr>
          <w:ilvl w:val="0"/>
          <w:numId w:val="8"/>
        </w:numPr>
        <w:rPr>
          <w:color w:val="auto"/>
        </w:rPr>
      </w:pPr>
      <w:r w:rsidRPr="37D35C3F" w:rsidR="00276192">
        <w:rPr>
          <w:color w:val="auto"/>
        </w:rPr>
        <w:t>Department for Education statutory guidance: Allergy safety in schools.</w:t>
      </w:r>
    </w:p>
    <w:p w:rsidR="00276192" w:rsidP="37D35C3F" w:rsidRDefault="00276192" w14:paraId="494D9869" w14:textId="5782B271">
      <w:pPr>
        <w:pStyle w:val="ListParagraph"/>
        <w:numPr>
          <w:ilvl w:val="0"/>
          <w:numId w:val="8"/>
        </w:numPr>
        <w:rPr>
          <w:color w:val="auto"/>
        </w:rPr>
      </w:pPr>
      <w:r w:rsidRPr="37D35C3F" w:rsidR="00276192">
        <w:rPr>
          <w:color w:val="auto"/>
        </w:rPr>
        <w:t>Department for Education Allergy safety policy template.</w:t>
      </w:r>
    </w:p>
    <w:p w:rsidR="00276192" w:rsidP="37D35C3F" w:rsidRDefault="00276192" w14:paraId="40DCCAD6" w14:textId="648CC5E8">
      <w:pPr>
        <w:pStyle w:val="ListParagraph"/>
        <w:numPr>
          <w:ilvl w:val="0"/>
          <w:numId w:val="8"/>
        </w:numPr>
        <w:rPr>
          <w:color w:val="auto"/>
        </w:rPr>
      </w:pPr>
      <w:r w:rsidRPr="37D35C3F" w:rsidR="00276192">
        <w:rPr>
          <w:color w:val="auto"/>
        </w:rPr>
        <w:t>Department of Health and Social Care guidance on emergency adrenaline auto-injectors in schools.</w:t>
      </w:r>
    </w:p>
    <w:p w:rsidR="00276192" w:rsidP="37D35C3F" w:rsidRDefault="00276192" w14:paraId="715E53A6" w14:textId="6D108D26">
      <w:pPr>
        <w:pStyle w:val="ListParagraph"/>
        <w:numPr>
          <w:ilvl w:val="0"/>
          <w:numId w:val="8"/>
        </w:numPr>
        <w:rPr>
          <w:color w:val="auto"/>
        </w:rPr>
      </w:pPr>
      <w:r w:rsidRPr="37D35C3F" w:rsidR="00276192">
        <w:rPr>
          <w:color w:val="auto"/>
        </w:rPr>
        <w:t>Food Information Regulations 2014 and associated allergen information requirements.</w:t>
      </w:r>
    </w:p>
    <w:p w:rsidR="00276192" w:rsidP="37D35C3F" w:rsidRDefault="00276192" w14:paraId="4ABBF453" w14:textId="417B9E95">
      <w:pPr>
        <w:pStyle w:val="ListParagraph"/>
        <w:numPr>
          <w:ilvl w:val="0"/>
          <w:numId w:val="8"/>
        </w:numPr>
        <w:rPr>
          <w:color w:val="auto"/>
        </w:rPr>
      </w:pPr>
      <w:r w:rsidRPr="37D35C3F" w:rsidR="00276192">
        <w:rPr>
          <w:color w:val="auto"/>
        </w:rPr>
        <w:t>Food Standards Agency guidance on allergen information and food allergen management.</w:t>
      </w:r>
    </w:p>
    <w:p w:rsidR="00276192" w:rsidP="37D35C3F" w:rsidRDefault="00276192" w14:paraId="2798F915" w14:textId="3D76989F">
      <w:pPr>
        <w:pStyle w:val="ListParagraph"/>
        <w:numPr>
          <w:ilvl w:val="0"/>
          <w:numId w:val="8"/>
        </w:numPr>
        <w:rPr>
          <w:color w:val="auto"/>
        </w:rPr>
      </w:pPr>
      <w:r w:rsidRPr="37D35C3F" w:rsidR="00276192">
        <w:rPr>
          <w:color w:val="auto"/>
        </w:rPr>
        <w:t>Equality Act 2010, where a pupil’s allergy may amount to a disability and reasonable adjustments may be required.</w:t>
      </w:r>
    </w:p>
    <w:p w:rsidR="00276192" w:rsidP="37D35C3F" w:rsidRDefault="00276192" w14:paraId="329867CE" w14:textId="224BED2E">
      <w:pPr>
        <w:pStyle w:val="ListParagraph"/>
        <w:numPr>
          <w:ilvl w:val="0"/>
          <w:numId w:val="8"/>
        </w:numPr>
        <w:rPr>
          <w:color w:val="auto"/>
        </w:rPr>
      </w:pPr>
      <w:r w:rsidRPr="37D35C3F" w:rsidR="00276192">
        <w:rPr>
          <w:color w:val="auto"/>
        </w:rPr>
        <w:t>Keeping Children Safe in Education, where safeguarding, inclusion and bullying considerations are relevant.</w:t>
      </w:r>
    </w:p>
    <w:p w:rsidR="00276192" w:rsidP="37D35C3F" w:rsidRDefault="00276192" w14:paraId="64492E00" w14:textId="6D3A20CC">
      <w:pPr>
        <w:pStyle w:val="ListParagraph"/>
        <w:numPr>
          <w:ilvl w:val="0"/>
          <w:numId w:val="8"/>
        </w:numPr>
        <w:rPr>
          <w:color w:val="auto"/>
        </w:rPr>
      </w:pPr>
      <w:r w:rsidRPr="37D35C3F" w:rsidR="00276192">
        <w:rPr>
          <w:color w:val="auto"/>
        </w:rPr>
        <w:t>Derbyshire County Council Supporting Pupils with Medical Needs Guidance and the school’s Administration of Medicines Policy.</w:t>
      </w:r>
    </w:p>
    <w:p w:rsidRPr="00775D4E" w:rsidR="00AB66DB" w:rsidP="37D35C3F" w:rsidRDefault="006A576E" w14:paraId="5FF418EA" w14:textId="633E246D">
      <w:pPr>
        <w:pStyle w:val="Heading1"/>
        <w:spacing w:before="240" w:line="360" w:lineRule="auto"/>
        <w:rPr>
          <w:color w:val="auto"/>
        </w:rPr>
      </w:pPr>
      <w:r w:rsidRPr="37D35C3F" w:rsidR="006A576E">
        <w:rPr>
          <w:rFonts w:ascii="Arial" w:hAnsi="Arial" w:eastAsia="Arial"/>
          <w:color w:val="auto"/>
        </w:rPr>
        <w:t>4</w:t>
      </w:r>
      <w:r w:rsidRPr="37D35C3F" w:rsidR="00D03085">
        <w:rPr>
          <w:rFonts w:ascii="Arial" w:hAnsi="Arial" w:eastAsia="Arial"/>
          <w:color w:val="auto"/>
        </w:rPr>
        <w:t>. Whole-school allergy safety principles</w:t>
      </w:r>
    </w:p>
    <w:p w:rsidR="006B43E5" w:rsidP="37D35C3F" w:rsidRDefault="006B43E5" w14:paraId="31B64BBE" w14:textId="77777777">
      <w:pPr>
        <w:pStyle w:val="ListBullet"/>
        <w:tabs>
          <w:tab w:val="clear" w:pos="360"/>
          <w:tab w:val="num" w:pos="720"/>
        </w:tabs>
        <w:ind w:left="720"/>
        <w:rPr>
          <w:color w:val="auto"/>
        </w:rPr>
      </w:pPr>
      <w:r w:rsidRPr="37D35C3F" w:rsidR="006B43E5">
        <w:rPr>
          <w:color w:val="auto"/>
        </w:rPr>
        <w:t>The school will adopt a whole-school allergy awareness approach rather than relying only on individual staff, catering controls or lunchtime arrangements.</w:t>
      </w:r>
    </w:p>
    <w:p w:rsidR="006B43E5" w:rsidP="37D35C3F" w:rsidRDefault="006B43E5" w14:paraId="2A2807A3" w14:textId="77777777">
      <w:pPr>
        <w:pStyle w:val="ListBullet"/>
        <w:tabs>
          <w:tab w:val="clear" w:pos="360"/>
          <w:tab w:val="num" w:pos="720"/>
        </w:tabs>
        <w:ind w:left="720"/>
        <w:rPr>
          <w:color w:val="auto"/>
        </w:rPr>
      </w:pPr>
      <w:r w:rsidRPr="37D35C3F" w:rsidR="006B43E5">
        <w:rPr>
          <w:color w:val="auto"/>
        </w:rPr>
        <w:t xml:space="preserve">The school will take reasonable and proportionate steps to reduce the risk of exposure to known allergens. Allergy risks will be </w:t>
      </w:r>
      <w:r w:rsidRPr="37D35C3F" w:rsidR="006B43E5">
        <w:rPr>
          <w:color w:val="auto"/>
        </w:rPr>
        <w:t>considered where</w:t>
      </w:r>
      <w:r w:rsidRPr="37D35C3F" w:rsidR="006B43E5">
        <w:rPr>
          <w:color w:val="auto"/>
        </w:rPr>
        <w:t xml:space="preserve"> relevant in food provision, food brought in by others, curriculum activities, science, design and technology, art and craft, cooking, rewards, fundraising, celebrations, visitors, trips, clubs, events, animals and outdoor activities.</w:t>
      </w:r>
    </w:p>
    <w:p w:rsidR="006B43E5" w:rsidP="37D35C3F" w:rsidRDefault="006B43E5" w14:paraId="5C805A01" w14:textId="77777777">
      <w:pPr>
        <w:pStyle w:val="ListBullet"/>
        <w:tabs>
          <w:tab w:val="clear" w:pos="360"/>
          <w:tab w:val="num" w:pos="720"/>
        </w:tabs>
        <w:ind w:left="720"/>
        <w:rPr>
          <w:color w:val="auto"/>
        </w:rPr>
      </w:pPr>
      <w:r w:rsidRPr="37D35C3F" w:rsidR="006B43E5">
        <w:rPr>
          <w:color w:val="auto"/>
        </w:rPr>
        <w:t>Where pupils have known allergies to airborne or contact allergens, the school will consider reasonable measures to reduce the risk of exposure.</w:t>
      </w:r>
    </w:p>
    <w:p w:rsidR="006B43E5" w:rsidP="37D35C3F" w:rsidRDefault="006B43E5" w14:paraId="65990B7A" w14:textId="77777777">
      <w:pPr>
        <w:pStyle w:val="ListBullet"/>
        <w:tabs>
          <w:tab w:val="clear" w:pos="360"/>
          <w:tab w:val="num" w:pos="720"/>
        </w:tabs>
        <w:ind w:left="720"/>
        <w:rPr>
          <w:color w:val="auto"/>
        </w:rPr>
      </w:pPr>
      <w:r w:rsidRPr="37D35C3F" w:rsidR="006B43E5">
        <w:rPr>
          <w:color w:val="auto"/>
        </w:rPr>
        <w:t>Pupils with allergies will be supported to participate in school life wherever this can be achieved safely through reasonable adjustments and proportionate risk management.</w:t>
      </w:r>
    </w:p>
    <w:p w:rsidR="006B43E5" w:rsidP="37D35C3F" w:rsidRDefault="006B43E5" w14:paraId="0C1E6EEA" w14:textId="77777777">
      <w:pPr>
        <w:pStyle w:val="ListBullet"/>
        <w:tabs>
          <w:tab w:val="clear" w:pos="360"/>
          <w:tab w:val="num" w:pos="720"/>
        </w:tabs>
        <w:ind w:left="720"/>
        <w:rPr>
          <w:color w:val="auto"/>
        </w:rPr>
      </w:pPr>
      <w:r w:rsidRPr="37D35C3F" w:rsidR="006B43E5">
        <w:rPr>
          <w:color w:val="auto"/>
        </w:rPr>
        <w:t>The school will not claim to be allergen-free, as this cannot be guaranteed. Where specific restrictions are introduced, these will be based on individual need, risk assessment and clear communication.</w:t>
      </w:r>
    </w:p>
    <w:p w:rsidR="005E5E9D" w:rsidP="37D35C3F" w:rsidRDefault="005E5E9D" w14:paraId="1D2BB63D" w14:textId="77777777">
      <w:pPr>
        <w:pStyle w:val="ListBullet"/>
        <w:tabs>
          <w:tab w:val="clear" w:pos="360"/>
          <w:tab w:val="num" w:pos="720"/>
        </w:tabs>
        <w:ind w:left="720"/>
        <w:rPr>
          <w:color w:val="auto"/>
        </w:rPr>
      </w:pPr>
      <w:r w:rsidRPr="37D35C3F" w:rsidR="005E5E9D">
        <w:rPr>
          <w:color w:val="auto"/>
        </w:rPr>
        <w:t>The school will identify and maintain an appropriate number of staff who are trained and willing, or whose role includes responsibility, to support allergy emergency arrangements, including access to prescribed and spare adrenaline auto-injectors where held. All staff will know how to summon help, call 999 in the event of suspected anaphylaxis and follow emergency instructions. Staff will only be expected to administer allergy medication where they have agreed to do so and have received appropriate information, instruction or training, unless this forms part of their contract, role or job description. This does not prevent any member of staff from taking reasonable emergency action to preserve life, including calling 999 or following emergency services advice.</w:t>
      </w:r>
    </w:p>
    <w:p w:rsidR="006B43E5" w:rsidP="37D35C3F" w:rsidRDefault="006B43E5" w14:paraId="75376EE2" w14:textId="208EB112">
      <w:pPr>
        <w:pStyle w:val="ListBullet"/>
        <w:tabs>
          <w:tab w:val="clear" w:pos="360"/>
          <w:tab w:val="num" w:pos="720"/>
        </w:tabs>
        <w:ind w:left="720"/>
        <w:rPr>
          <w:color w:val="auto"/>
        </w:rPr>
      </w:pPr>
      <w:r w:rsidRPr="37D35C3F" w:rsidR="006B43E5">
        <w:rPr>
          <w:color w:val="auto"/>
        </w:rPr>
        <w:t>Allergic reactions, serious incidents, near misses and concerns will be recorded, reviewed and used to improve arrangements.</w:t>
      </w:r>
    </w:p>
    <w:p w:rsidRPr="00775D4E" w:rsidR="00AB66DB" w:rsidP="37D35C3F" w:rsidRDefault="006A576E" w14:paraId="19BA2EC4" w14:textId="75294DAA">
      <w:pPr>
        <w:pStyle w:val="Heading1"/>
        <w:spacing w:before="240"/>
        <w:rPr>
          <w:color w:val="auto"/>
        </w:rPr>
      </w:pPr>
      <w:r w:rsidRPr="37D35C3F" w:rsidR="006A576E">
        <w:rPr>
          <w:rFonts w:ascii="Arial" w:hAnsi="Arial" w:eastAsia="Arial"/>
          <w:color w:val="auto"/>
        </w:rPr>
        <w:t>5</w:t>
      </w:r>
      <w:r w:rsidRPr="37D35C3F" w:rsidR="00D03085">
        <w:rPr>
          <w:rFonts w:ascii="Arial" w:hAnsi="Arial" w:eastAsia="Arial"/>
          <w:color w:val="auto"/>
        </w:rPr>
        <w:t>. Roles and responsibilities</w:t>
      </w:r>
    </w:p>
    <w:p w:rsidRPr="00775D4E" w:rsidR="00AB66DB" w:rsidP="37D35C3F" w:rsidRDefault="006A576E" w14:paraId="170B93BF" w14:textId="5B05C854">
      <w:pPr>
        <w:pStyle w:val="Heading2"/>
        <w:ind w:left="111"/>
        <w:rPr>
          <w:color w:val="auto"/>
        </w:rPr>
      </w:pPr>
      <w:r w:rsidRPr="37D35C3F" w:rsidR="006A576E">
        <w:rPr>
          <w:rFonts w:ascii="Arial" w:hAnsi="Arial" w:eastAsia="Arial"/>
          <w:b w:val="0"/>
          <w:bCs w:val="0"/>
          <w:color w:val="auto"/>
        </w:rPr>
        <w:t>5</w:t>
      </w:r>
      <w:r w:rsidRPr="37D35C3F" w:rsidR="00D03085">
        <w:rPr>
          <w:rFonts w:ascii="Arial" w:hAnsi="Arial" w:eastAsia="Arial"/>
          <w:b w:val="0"/>
          <w:bCs w:val="0"/>
          <w:color w:val="auto"/>
        </w:rPr>
        <w:t xml:space="preserve">.1 Governing body </w:t>
      </w:r>
      <w:r w:rsidRPr="37D35C3F" w:rsidR="00591012">
        <w:rPr>
          <w:rFonts w:ascii="Arial" w:hAnsi="Arial" w:eastAsia="Arial"/>
          <w:b w:val="0"/>
          <w:bCs w:val="0"/>
          <w:color w:val="auto"/>
        </w:rPr>
        <w:t>and</w:t>
      </w:r>
      <w:r w:rsidRPr="37D35C3F" w:rsidR="00D03085">
        <w:rPr>
          <w:rFonts w:ascii="Arial" w:hAnsi="Arial" w:eastAsia="Arial"/>
          <w:b w:val="0"/>
          <w:bCs w:val="0"/>
          <w:color w:val="auto"/>
        </w:rPr>
        <w:t xml:space="preserve"> trust board</w:t>
      </w:r>
      <w:r w:rsidRPr="37D35C3F" w:rsidR="001E6231">
        <w:rPr>
          <w:rFonts w:ascii="Arial" w:hAnsi="Arial" w:eastAsia="Arial"/>
          <w:b w:val="0"/>
          <w:bCs w:val="0"/>
          <w:color w:val="auto"/>
        </w:rPr>
        <w:t xml:space="preserve"> will:</w:t>
      </w:r>
    </w:p>
    <w:p w:rsidR="001E6231" w:rsidP="37D35C3F" w:rsidRDefault="001E6231" w14:paraId="1DB1290C" w14:textId="0265969A">
      <w:pPr>
        <w:pStyle w:val="ListBullet"/>
        <w:rPr>
          <w:color w:val="auto"/>
        </w:rPr>
      </w:pPr>
      <w:r w:rsidRPr="37D35C3F" w:rsidR="001E6231">
        <w:rPr>
          <w:color w:val="auto"/>
        </w:rPr>
        <w:t>ensure the school has appropriate arrangements for supporting pupils with allergies and other medical conditions</w:t>
      </w:r>
    </w:p>
    <w:p w:rsidR="001E6231" w:rsidP="37D35C3F" w:rsidRDefault="001E6231" w14:paraId="30807219" w14:textId="0E4F36E3">
      <w:pPr>
        <w:pStyle w:val="ListBullet"/>
        <w:rPr>
          <w:color w:val="auto"/>
        </w:rPr>
      </w:pPr>
      <w:r w:rsidRPr="37D35C3F" w:rsidR="001E6231">
        <w:rPr>
          <w:color w:val="auto"/>
        </w:rPr>
        <w:t>approve and monitor this policy and ensure it is published, accessible and reviewed at least annually</w:t>
      </w:r>
    </w:p>
    <w:p w:rsidR="001E6231" w:rsidP="37D35C3F" w:rsidRDefault="001E6231" w14:paraId="4AA60086" w14:textId="0FF96B00">
      <w:pPr>
        <w:pStyle w:val="ListBullet"/>
        <w:rPr>
          <w:color w:val="auto"/>
        </w:rPr>
      </w:pPr>
      <w:r w:rsidRPr="37D35C3F" w:rsidR="001E6231">
        <w:rPr>
          <w:color w:val="auto"/>
        </w:rPr>
        <w:t>ensure a Named Senior Leader is identified for allergy safety</w:t>
      </w:r>
    </w:p>
    <w:p w:rsidR="001E6231" w:rsidP="37D35C3F" w:rsidRDefault="001E6231" w14:paraId="5D6EED8B" w14:textId="6E8AA2E2">
      <w:pPr>
        <w:pStyle w:val="ListBullet"/>
        <w:rPr>
          <w:color w:val="auto"/>
        </w:rPr>
      </w:pPr>
      <w:r w:rsidRPr="37D35C3F" w:rsidR="001E6231">
        <w:rPr>
          <w:color w:val="auto"/>
        </w:rPr>
        <w:t>seek assurance that suitable training, resources and arrangements are in place to manage allergy risks</w:t>
      </w:r>
    </w:p>
    <w:p w:rsidR="001E6231" w:rsidP="37D35C3F" w:rsidRDefault="001E6231" w14:paraId="039BD7AC" w14:textId="5797A7AB">
      <w:pPr>
        <w:pStyle w:val="ListBullet"/>
        <w:rPr>
          <w:color w:val="auto"/>
        </w:rPr>
      </w:pPr>
      <w:r w:rsidRPr="37D35C3F" w:rsidR="001E6231">
        <w:rPr>
          <w:color w:val="auto"/>
        </w:rPr>
        <w:t>seek assurance that allergic reactions, serious incidents and near misses are reviewed and that learning is acted upon</w:t>
      </w:r>
    </w:p>
    <w:p w:rsidR="00FB4278" w:rsidP="37D35C3F" w:rsidRDefault="001E6231" w14:paraId="096A20EA" w14:textId="700836CA">
      <w:pPr>
        <w:pStyle w:val="ListBullet"/>
        <w:rPr>
          <w:color w:val="auto"/>
        </w:rPr>
      </w:pPr>
      <w:r w:rsidRPr="37D35C3F" w:rsidR="001E6231">
        <w:rPr>
          <w:color w:val="auto"/>
        </w:rPr>
        <w:t>ensure the school meets relevant legal duties, including medical conditions, allergy safety, equality, safeguarding and data protection requirements.</w:t>
      </w:r>
    </w:p>
    <w:p w:rsidRPr="00775D4E" w:rsidR="00AB66DB" w:rsidP="37D35C3F" w:rsidRDefault="006A576E" w14:paraId="50B50959" w14:textId="7F87AB07">
      <w:pPr>
        <w:pStyle w:val="Heading2"/>
        <w:ind w:left="111"/>
        <w:rPr>
          <w:color w:val="auto"/>
        </w:rPr>
      </w:pPr>
      <w:r w:rsidRPr="37D35C3F" w:rsidR="006A576E">
        <w:rPr>
          <w:rFonts w:ascii="Arial" w:hAnsi="Arial" w:eastAsia="Arial"/>
          <w:b w:val="0"/>
          <w:bCs w:val="0"/>
          <w:color w:val="auto"/>
        </w:rPr>
        <w:t>5</w:t>
      </w:r>
      <w:r w:rsidRPr="37D35C3F" w:rsidR="00D03085">
        <w:rPr>
          <w:rFonts w:ascii="Arial" w:hAnsi="Arial" w:eastAsia="Arial"/>
          <w:b w:val="0"/>
          <w:bCs w:val="0"/>
          <w:color w:val="auto"/>
        </w:rPr>
        <w:t xml:space="preserve">.2 Headteacher </w:t>
      </w:r>
      <w:r w:rsidRPr="37D35C3F" w:rsidR="00041881">
        <w:rPr>
          <w:rFonts w:ascii="Arial" w:hAnsi="Arial" w:eastAsia="Arial"/>
          <w:b w:val="0"/>
          <w:bCs w:val="0"/>
          <w:color w:val="auto"/>
        </w:rPr>
        <w:t>will:</w:t>
      </w:r>
    </w:p>
    <w:p w:rsidR="00041881" w:rsidP="37D35C3F" w:rsidRDefault="00041881" w14:paraId="53A57198" w14:textId="51C3DD93">
      <w:pPr>
        <w:pStyle w:val="ListBullet"/>
        <w:tabs>
          <w:tab w:val="clear" w:pos="360"/>
          <w:tab w:val="num" w:pos="0"/>
          <w:tab w:val="num" w:pos="2617"/>
        </w:tabs>
        <w:ind w:left="1080"/>
        <w:rPr>
          <w:color w:val="auto"/>
        </w:rPr>
      </w:pPr>
      <w:r w:rsidRPr="37D35C3F" w:rsidR="00041881">
        <w:rPr>
          <w:color w:val="auto"/>
        </w:rPr>
        <w:t>ensure this policy is implemented effectively across the school</w:t>
      </w:r>
    </w:p>
    <w:p w:rsidR="00041881" w:rsidP="37D35C3F" w:rsidRDefault="00041881" w14:paraId="0D03BFBF" w14:textId="62183D59">
      <w:pPr>
        <w:pStyle w:val="ListBullet"/>
        <w:tabs>
          <w:tab w:val="clear" w:pos="360"/>
          <w:tab w:val="num" w:pos="0"/>
          <w:tab w:val="num" w:pos="2617"/>
        </w:tabs>
        <w:ind w:left="1080"/>
        <w:rPr>
          <w:color w:val="auto"/>
        </w:rPr>
      </w:pPr>
      <w:r w:rsidRPr="37D35C3F" w:rsidR="00041881">
        <w:rPr>
          <w:color w:val="auto"/>
        </w:rPr>
        <w:t>ensure a Named Senior Leader, Allergy and Anaphylaxis Operational Lead and Deputy Lead are identified</w:t>
      </w:r>
    </w:p>
    <w:p w:rsidR="00795734" w:rsidP="37D35C3F" w:rsidRDefault="006F5879" w14:paraId="60D0CE4A" w14:textId="77777777">
      <w:pPr>
        <w:pStyle w:val="ListBullet"/>
        <w:tabs>
          <w:tab w:val="clear" w:pos="360"/>
          <w:tab w:val="num" w:pos="0"/>
          <w:tab w:val="num" w:pos="2617"/>
        </w:tabs>
        <w:ind w:left="1080"/>
        <w:rPr>
          <w:color w:val="auto"/>
        </w:rPr>
      </w:pPr>
      <w:r w:rsidRPr="37D35C3F" w:rsidR="006F5879">
        <w:rPr>
          <w:color w:val="auto"/>
        </w:rPr>
        <w:t>ensure an appropriate number of staff are trained and willing, or have this responsibility within their role, to support allergy emergency arrangements, and ensure relevant staff receive allergy awareness and emergency response training at induction and at least annually</w:t>
      </w:r>
    </w:p>
    <w:p w:rsidR="00041881" w:rsidP="37D35C3F" w:rsidRDefault="00041881" w14:paraId="1653E7DA" w14:textId="0D61178A">
      <w:pPr>
        <w:pStyle w:val="ListBullet"/>
        <w:tabs>
          <w:tab w:val="clear" w:pos="360"/>
          <w:tab w:val="num" w:pos="0"/>
          <w:tab w:val="num" w:pos="2617"/>
        </w:tabs>
        <w:ind w:left="1080"/>
        <w:rPr>
          <w:color w:val="auto"/>
        </w:rPr>
      </w:pPr>
      <w:r w:rsidRPr="37D35C3F" w:rsidR="00041881">
        <w:rPr>
          <w:color w:val="auto"/>
        </w:rPr>
        <w:t>ensure information about pupils with allergies is shared with staff who need to know, while respecting confidentiality and data protection requirements</w:t>
      </w:r>
    </w:p>
    <w:p w:rsidR="00041881" w:rsidP="37D35C3F" w:rsidRDefault="00041881" w14:paraId="2BF249BF" w14:textId="23C46285">
      <w:pPr>
        <w:pStyle w:val="ListBullet"/>
        <w:tabs>
          <w:tab w:val="clear" w:pos="360"/>
          <w:tab w:val="num" w:pos="0"/>
          <w:tab w:val="num" w:pos="2617"/>
        </w:tabs>
        <w:ind w:left="1080"/>
        <w:rPr>
          <w:color w:val="auto"/>
        </w:rPr>
      </w:pPr>
      <w:r w:rsidRPr="37D35C3F" w:rsidR="00041881">
        <w:rPr>
          <w:color w:val="auto"/>
        </w:rPr>
        <w:t>ensure suitable arrangements are in place for prescribed emergency medication and spare AAIs, including storage, access, checking and replacement</w:t>
      </w:r>
    </w:p>
    <w:p w:rsidR="00041881" w:rsidP="37D35C3F" w:rsidRDefault="00041881" w14:paraId="0903FD08" w14:textId="40044469">
      <w:pPr>
        <w:pStyle w:val="ListBullet"/>
        <w:tabs>
          <w:tab w:val="clear" w:pos="360"/>
          <w:tab w:val="num" w:pos="0"/>
          <w:tab w:val="num" w:pos="2617"/>
        </w:tabs>
        <w:ind w:left="1080"/>
        <w:rPr>
          <w:color w:val="auto"/>
        </w:rPr>
      </w:pPr>
      <w:r w:rsidRPr="37D35C3F" w:rsidR="00041881">
        <w:rPr>
          <w:color w:val="auto"/>
        </w:rPr>
        <w:t>ensure allergy risks are considered where relevant in school trips, clubs, events, curriculum activities, catering arrangements and food brought in by others</w:t>
      </w:r>
    </w:p>
    <w:p w:rsidR="00041881" w:rsidP="37D35C3F" w:rsidRDefault="00041881" w14:paraId="007DE8E8" w14:textId="7EC13D8B">
      <w:pPr>
        <w:pStyle w:val="ListBullet"/>
        <w:tabs>
          <w:tab w:val="clear" w:pos="360"/>
          <w:tab w:val="num" w:pos="0"/>
          <w:tab w:val="num" w:pos="2617"/>
        </w:tabs>
        <w:ind w:left="1080"/>
        <w:rPr>
          <w:color w:val="auto"/>
        </w:rPr>
      </w:pPr>
      <w:r w:rsidRPr="37D35C3F" w:rsidR="00041881">
        <w:rPr>
          <w:color w:val="auto"/>
        </w:rPr>
        <w:t>report significant concerns, serious incidents and near misses to governors/trustees as appropriate.</w:t>
      </w:r>
    </w:p>
    <w:p w:rsidRPr="00775D4E" w:rsidR="00AB66DB" w:rsidP="37D35C3F" w:rsidRDefault="006A576E" w14:paraId="4BC736A8" w14:textId="4720F8F8">
      <w:pPr>
        <w:pStyle w:val="Heading2"/>
        <w:ind w:left="111"/>
        <w:rPr>
          <w:color w:val="auto"/>
        </w:rPr>
      </w:pPr>
      <w:r w:rsidRPr="37D35C3F" w:rsidR="006A576E">
        <w:rPr>
          <w:rFonts w:ascii="Arial" w:hAnsi="Arial" w:eastAsia="Arial"/>
          <w:b w:val="0"/>
          <w:bCs w:val="0"/>
          <w:color w:val="auto"/>
        </w:rPr>
        <w:t>5</w:t>
      </w:r>
      <w:r w:rsidRPr="37D35C3F" w:rsidR="00D03085">
        <w:rPr>
          <w:rFonts w:ascii="Arial" w:hAnsi="Arial" w:eastAsia="Arial"/>
          <w:b w:val="0"/>
          <w:bCs w:val="0"/>
          <w:color w:val="auto"/>
        </w:rPr>
        <w:t xml:space="preserve">.3 </w:t>
      </w:r>
      <w:r w:rsidRPr="37D35C3F" w:rsidR="00695647">
        <w:rPr>
          <w:rFonts w:ascii="Arial" w:hAnsi="Arial" w:eastAsia="Arial"/>
          <w:b w:val="0"/>
          <w:bCs w:val="0"/>
          <w:color w:val="auto"/>
        </w:rPr>
        <w:t>Named allergy and anaphylaxis leads</w:t>
      </w:r>
      <w:r w:rsidRPr="37D35C3F" w:rsidR="000F7E85">
        <w:rPr>
          <w:rFonts w:ascii="Arial" w:hAnsi="Arial" w:eastAsia="Arial"/>
          <w:b w:val="0"/>
          <w:bCs w:val="0"/>
          <w:color w:val="auto"/>
        </w:rPr>
        <w:t xml:space="preserve"> will:</w:t>
      </w:r>
    </w:p>
    <w:p w:rsidR="000F7E85" w:rsidP="37D35C3F" w:rsidRDefault="000F7E85" w14:paraId="3E6B36C1" w14:textId="74AA805A">
      <w:pPr>
        <w:pStyle w:val="ListBullet"/>
        <w:tabs>
          <w:tab w:val="clear" w:pos="360"/>
          <w:tab w:val="num" w:pos="1080"/>
        </w:tabs>
        <w:ind w:left="1080"/>
        <w:rPr>
          <w:color w:val="auto"/>
        </w:rPr>
      </w:pPr>
      <w:r w:rsidRPr="37D35C3F" w:rsidR="000F7E85">
        <w:rPr>
          <w:color w:val="auto"/>
        </w:rPr>
        <w:t>coordinate the school allergy register</w:t>
      </w:r>
    </w:p>
    <w:p w:rsidR="000F7E85" w:rsidP="37D35C3F" w:rsidRDefault="000F7E85" w14:paraId="3220703E" w14:textId="4C0AE419">
      <w:pPr>
        <w:pStyle w:val="ListBullet"/>
        <w:tabs>
          <w:tab w:val="clear" w:pos="360"/>
          <w:tab w:val="num" w:pos="1080"/>
        </w:tabs>
        <w:ind w:left="1080"/>
        <w:rPr>
          <w:color w:val="auto"/>
        </w:rPr>
      </w:pPr>
      <w:r w:rsidRPr="37D35C3F" w:rsidR="000F7E85">
        <w:rPr>
          <w:color w:val="auto"/>
        </w:rPr>
        <w:t>support the gathering, review and sharing of Allergy Action Plans, Individual Healthcare Plans and Individual Allergy Risk Assessments where required</w:t>
      </w:r>
    </w:p>
    <w:p w:rsidR="000F7E85" w:rsidP="37D35C3F" w:rsidRDefault="000F7E85" w14:paraId="217EC41B" w14:textId="58DD6008">
      <w:pPr>
        <w:pStyle w:val="ListBullet"/>
        <w:tabs>
          <w:tab w:val="clear" w:pos="360"/>
          <w:tab w:val="num" w:pos="1080"/>
        </w:tabs>
        <w:ind w:left="1080"/>
        <w:rPr>
          <w:color w:val="auto"/>
        </w:rPr>
      </w:pPr>
      <w:r w:rsidRPr="37D35C3F" w:rsidR="000F7E85">
        <w:rPr>
          <w:color w:val="auto"/>
        </w:rPr>
        <w:t>coordinate medication checks and reminders to parents/carers when prescribed allergy medication is approaching expiry</w:t>
      </w:r>
    </w:p>
    <w:p w:rsidR="000F7E85" w:rsidP="37D35C3F" w:rsidRDefault="000F7E85" w14:paraId="17360186" w14:textId="3FBA01A7">
      <w:pPr>
        <w:pStyle w:val="ListBullet"/>
        <w:tabs>
          <w:tab w:val="clear" w:pos="360"/>
          <w:tab w:val="num" w:pos="1080"/>
        </w:tabs>
        <w:ind w:left="1080"/>
        <w:rPr>
          <w:color w:val="auto"/>
        </w:rPr>
      </w:pPr>
      <w:r w:rsidRPr="37D35C3F" w:rsidR="000F7E85">
        <w:rPr>
          <w:color w:val="auto"/>
        </w:rPr>
        <w:t>check spare AAIs monthly, where held, and support replacement arrangements</w:t>
      </w:r>
    </w:p>
    <w:p w:rsidR="000F7E85" w:rsidP="37D35C3F" w:rsidRDefault="000F7E85" w14:paraId="0DE5309F" w14:textId="5DDE28FA">
      <w:pPr>
        <w:pStyle w:val="ListBullet"/>
        <w:tabs>
          <w:tab w:val="clear" w:pos="360"/>
          <w:tab w:val="num" w:pos="1080"/>
        </w:tabs>
        <w:ind w:left="1080"/>
        <w:rPr>
          <w:color w:val="auto"/>
        </w:rPr>
      </w:pPr>
      <w:r w:rsidRPr="37D35C3F" w:rsidR="000F7E85">
        <w:rPr>
          <w:color w:val="auto"/>
        </w:rPr>
        <w:t>maintain allergy awareness training records and refresher training records</w:t>
      </w:r>
    </w:p>
    <w:p w:rsidR="000F7E85" w:rsidP="37D35C3F" w:rsidRDefault="000F7E85" w14:paraId="2C870D6B" w14:textId="2ED6D956">
      <w:pPr>
        <w:pStyle w:val="ListBullet"/>
        <w:tabs>
          <w:tab w:val="clear" w:pos="360"/>
          <w:tab w:val="num" w:pos="1080"/>
        </w:tabs>
        <w:ind w:left="1080"/>
        <w:rPr>
          <w:color w:val="auto"/>
        </w:rPr>
      </w:pPr>
      <w:r w:rsidRPr="37D35C3F" w:rsidR="000F7E85">
        <w:rPr>
          <w:color w:val="auto"/>
        </w:rPr>
        <w:t>liaise with parents/carers, school nurses, healthcare professionals and catering providers where needed</w:t>
      </w:r>
    </w:p>
    <w:p w:rsidR="000F7E85" w:rsidP="37D35C3F" w:rsidRDefault="000F7E85" w14:paraId="541A8A8D" w14:textId="035C7BE8">
      <w:pPr>
        <w:pStyle w:val="ListBullet"/>
        <w:tabs>
          <w:tab w:val="clear" w:pos="360"/>
          <w:tab w:val="num" w:pos="1080"/>
        </w:tabs>
        <w:ind w:left="1080"/>
        <w:rPr>
          <w:color w:val="auto"/>
        </w:rPr>
      </w:pPr>
      <w:r w:rsidRPr="37D35C3F" w:rsidR="000F7E85">
        <w:rPr>
          <w:color w:val="auto"/>
        </w:rPr>
        <w:t>support individual allergy risk assessments and ensure agreed controls are communicated to relevant staff</w:t>
      </w:r>
    </w:p>
    <w:p w:rsidR="000F7E85" w:rsidP="37D35C3F" w:rsidRDefault="000F7E85" w14:paraId="0639FB86" w14:textId="69043C53">
      <w:pPr>
        <w:pStyle w:val="ListBullet"/>
        <w:tabs>
          <w:tab w:val="clear" w:pos="360"/>
          <w:tab w:val="num" w:pos="1080"/>
        </w:tabs>
        <w:ind w:left="1080"/>
        <w:rPr>
          <w:color w:val="auto"/>
        </w:rPr>
      </w:pPr>
      <w:r w:rsidRPr="37D35C3F" w:rsidR="000F7E85">
        <w:rPr>
          <w:color w:val="auto"/>
        </w:rPr>
        <w:t>support the recording and review of allergic reactions, suspected anaphylaxis, AAI use, catering errors, near misses and lessons learned.</w:t>
      </w:r>
    </w:p>
    <w:p w:rsidRPr="00775D4E" w:rsidR="00AB66DB" w:rsidP="37D35C3F" w:rsidRDefault="006A576E" w14:paraId="627EE846" w14:textId="6F9B0D72">
      <w:pPr>
        <w:pStyle w:val="Heading2"/>
        <w:ind w:left="111"/>
        <w:rPr>
          <w:color w:val="auto"/>
        </w:rPr>
      </w:pPr>
      <w:r w:rsidRPr="37D35C3F" w:rsidR="006A576E">
        <w:rPr>
          <w:rFonts w:ascii="Arial" w:hAnsi="Arial" w:eastAsia="Arial"/>
          <w:b w:val="0"/>
          <w:bCs w:val="0"/>
          <w:color w:val="auto"/>
        </w:rPr>
        <w:t>5</w:t>
      </w:r>
      <w:r w:rsidRPr="37D35C3F" w:rsidR="00D03085">
        <w:rPr>
          <w:rFonts w:ascii="Arial" w:hAnsi="Arial" w:eastAsia="Arial"/>
          <w:b w:val="0"/>
          <w:bCs w:val="0"/>
          <w:color w:val="auto"/>
        </w:rPr>
        <w:t>.4 All staff</w:t>
      </w:r>
      <w:r w:rsidRPr="37D35C3F" w:rsidR="00AC3866">
        <w:rPr>
          <w:rFonts w:ascii="Arial" w:hAnsi="Arial" w:eastAsia="Arial"/>
          <w:b w:val="0"/>
          <w:bCs w:val="0"/>
          <w:color w:val="auto"/>
        </w:rPr>
        <w:t xml:space="preserve"> will:</w:t>
      </w:r>
    </w:p>
    <w:p w:rsidR="00763D93" w:rsidP="37D35C3F" w:rsidRDefault="00763D93" w14:paraId="0A6B4D8D" w14:textId="50204344">
      <w:pPr>
        <w:pStyle w:val="ListBullet"/>
        <w:tabs>
          <w:tab w:val="clear" w:pos="360"/>
          <w:tab w:val="num" w:pos="0"/>
          <w:tab w:val="num" w:pos="2617"/>
        </w:tabs>
        <w:ind w:left="1080"/>
        <w:rPr>
          <w:color w:val="auto"/>
        </w:rPr>
      </w:pPr>
      <w:r w:rsidRPr="37D35C3F" w:rsidR="00763D93">
        <w:rPr>
          <w:color w:val="auto"/>
        </w:rPr>
        <w:t>complete allergy awareness and emergency response training relevant to their role</w:t>
      </w:r>
    </w:p>
    <w:p w:rsidR="00763D93" w:rsidP="37D35C3F" w:rsidRDefault="00763D93" w14:paraId="518ADE8E" w14:textId="00C158B4">
      <w:pPr>
        <w:pStyle w:val="ListBullet"/>
        <w:tabs>
          <w:tab w:val="clear" w:pos="360"/>
          <w:tab w:val="num" w:pos="0"/>
          <w:tab w:val="num" w:pos="2617"/>
        </w:tabs>
        <w:ind w:left="1080"/>
        <w:rPr>
          <w:color w:val="auto"/>
        </w:rPr>
      </w:pPr>
      <w:r w:rsidRPr="37D35C3F" w:rsidR="00763D93">
        <w:rPr>
          <w:color w:val="auto"/>
        </w:rPr>
        <w:t>know which pupils in their care have allergies and where to access relevant plans and medication</w:t>
      </w:r>
    </w:p>
    <w:p w:rsidR="00763D93" w:rsidP="37D35C3F" w:rsidRDefault="00763D93" w14:paraId="5788E09A" w14:textId="1474B26E">
      <w:pPr>
        <w:pStyle w:val="ListBullet"/>
        <w:tabs>
          <w:tab w:val="clear" w:pos="360"/>
          <w:tab w:val="num" w:pos="0"/>
          <w:tab w:val="num" w:pos="2617"/>
        </w:tabs>
        <w:ind w:left="1080"/>
        <w:rPr>
          <w:color w:val="auto"/>
        </w:rPr>
      </w:pPr>
      <w:r w:rsidRPr="37D35C3F" w:rsidR="00763D93">
        <w:rPr>
          <w:color w:val="auto"/>
        </w:rPr>
        <w:t>consider allergy risks when planning or supervising food-related, curriculum, craft, science, cooking, outdoor, visit or club activities</w:t>
      </w:r>
    </w:p>
    <w:p w:rsidR="00763D93" w:rsidP="37D35C3F" w:rsidRDefault="00763D93" w14:paraId="391D46D1" w14:textId="5BEDF2E9">
      <w:pPr>
        <w:pStyle w:val="ListBullet"/>
        <w:tabs>
          <w:tab w:val="clear" w:pos="360"/>
          <w:tab w:val="num" w:pos="0"/>
          <w:tab w:val="num" w:pos="2617"/>
        </w:tabs>
        <w:ind w:left="1080"/>
        <w:rPr>
          <w:color w:val="auto"/>
        </w:rPr>
      </w:pPr>
      <w:r w:rsidRPr="37D35C3F" w:rsidR="00763D93">
        <w:rPr>
          <w:color w:val="auto"/>
        </w:rPr>
        <w:t>act promptly if a pupil reports symptoms or if an allergic reaction or anaphylaxis is suspected</w:t>
      </w:r>
    </w:p>
    <w:p w:rsidR="00763D93" w:rsidP="37D35C3F" w:rsidRDefault="00763D93" w14:paraId="333295B8" w14:textId="528CCEE4">
      <w:pPr>
        <w:pStyle w:val="ListBullet"/>
        <w:tabs>
          <w:tab w:val="clear" w:pos="360"/>
          <w:tab w:val="num" w:pos="0"/>
          <w:tab w:val="num" w:pos="2617"/>
        </w:tabs>
        <w:ind w:left="1080"/>
        <w:rPr>
          <w:color w:val="auto"/>
        </w:rPr>
      </w:pPr>
      <w:r w:rsidRPr="37D35C3F" w:rsidR="00763D93">
        <w:rPr>
          <w:color w:val="auto"/>
        </w:rPr>
        <w:t>know how to call for help, call 999, locate emergency medication and follow the pupil’s Allergy Action Plan or emergency procedures</w:t>
      </w:r>
    </w:p>
    <w:p w:rsidR="00763D93" w:rsidP="37D35C3F" w:rsidRDefault="00763D93" w14:paraId="36A68CDC" w14:textId="7EE9D4BF">
      <w:pPr>
        <w:pStyle w:val="ListBullet"/>
        <w:tabs>
          <w:tab w:val="clear" w:pos="360"/>
          <w:tab w:val="num" w:pos="0"/>
          <w:tab w:val="num" w:pos="2617"/>
        </w:tabs>
        <w:ind w:left="1080"/>
        <w:rPr>
          <w:color w:val="auto"/>
        </w:rPr>
      </w:pPr>
      <w:r w:rsidRPr="37D35C3F" w:rsidR="00763D93">
        <w:rPr>
          <w:color w:val="auto"/>
        </w:rPr>
        <w:t xml:space="preserve">promote an inclusive environment and challenge allergy-related bullying, teasing, unsafe </w:t>
      </w:r>
      <w:r w:rsidRPr="37D35C3F" w:rsidR="00763D93">
        <w:rPr>
          <w:color w:val="auto"/>
        </w:rPr>
        <w:t>behaviour</w:t>
      </w:r>
      <w:r w:rsidRPr="37D35C3F" w:rsidR="00763D93">
        <w:rPr>
          <w:color w:val="auto"/>
        </w:rPr>
        <w:t xml:space="preserve"> or deliberate exposure to allergens</w:t>
      </w:r>
    </w:p>
    <w:p w:rsidR="00763D93" w:rsidP="37D35C3F" w:rsidRDefault="00763D93" w14:paraId="0306424A" w14:textId="47027F32">
      <w:pPr>
        <w:pStyle w:val="ListBullet"/>
        <w:tabs>
          <w:tab w:val="clear" w:pos="360"/>
          <w:tab w:val="num" w:pos="0"/>
          <w:tab w:val="num" w:pos="2617"/>
        </w:tabs>
        <w:ind w:left="1080"/>
        <w:rPr>
          <w:color w:val="auto"/>
        </w:rPr>
      </w:pPr>
      <w:r w:rsidRPr="37D35C3F" w:rsidR="00763D93">
        <w:rPr>
          <w:color w:val="auto"/>
        </w:rPr>
        <w:t>report concerns, allergic reactions, suspected anaphylaxis, incidents or near misses to the named allergy and anaphylaxis lead</w:t>
      </w:r>
      <w:r w:rsidRPr="37D35C3F" w:rsidR="00434619">
        <w:rPr>
          <w:color w:val="auto"/>
        </w:rPr>
        <w:t>.</w:t>
      </w:r>
    </w:p>
    <w:p w:rsidR="00434619" w:rsidP="37D35C3F" w:rsidRDefault="00434619" w14:paraId="4D9EC50A" w14:textId="77777777">
      <w:pPr>
        <w:pStyle w:val="ListBullet"/>
        <w:numPr>
          <w:ilvl w:val="0"/>
          <w:numId w:val="0"/>
        </w:numPr>
        <w:tabs>
          <w:tab w:val="num" w:pos="0"/>
          <w:tab w:val="num" w:pos="2617"/>
        </w:tabs>
        <w:ind w:left="720"/>
        <w:rPr>
          <w:color w:val="auto"/>
        </w:rPr>
      </w:pPr>
    </w:p>
    <w:p w:rsidR="001F6696" w:rsidP="37D35C3F" w:rsidRDefault="00434619" w14:paraId="5D6ABE39" w14:textId="3420BB94">
      <w:pPr>
        <w:pStyle w:val="ListBullet"/>
        <w:numPr>
          <w:ilvl w:val="0"/>
          <w:numId w:val="0"/>
        </w:numPr>
        <w:tabs>
          <w:tab w:val="num" w:pos="0"/>
          <w:tab w:val="num" w:pos="2617"/>
        </w:tabs>
        <w:ind w:left="720"/>
        <w:rPr>
          <w:color w:val="auto"/>
        </w:rPr>
      </w:pPr>
      <w:r w:rsidRPr="37D35C3F" w:rsidR="00434619">
        <w:rPr>
          <w:color w:val="auto"/>
        </w:rPr>
        <w:t>P</w:t>
      </w:r>
      <w:r w:rsidRPr="37D35C3F" w:rsidR="001F6696">
        <w:rPr>
          <w:color w:val="auto"/>
        </w:rPr>
        <w:t xml:space="preserve">articipation in the administration of allergy medication, including adrenaline auto-injectors, is voluntary unless it forms part of the staff member’s contract, role or job description. Individual decisions on involvement will be respected. Punitive action will not be taken against staff who choose not to consent </w:t>
      </w:r>
      <w:r w:rsidRPr="37D35C3F" w:rsidR="001F6696">
        <w:rPr>
          <w:color w:val="auto"/>
        </w:rPr>
        <w:t>where</w:t>
      </w:r>
      <w:r w:rsidRPr="37D35C3F" w:rsidR="001F6696">
        <w:rPr>
          <w:color w:val="auto"/>
        </w:rPr>
        <w:t xml:space="preserve"> administration of medicines is not part of their agreed role.</w:t>
      </w:r>
    </w:p>
    <w:p w:rsidRPr="00775D4E" w:rsidR="00AB66DB" w:rsidP="37D35C3F" w:rsidRDefault="006A576E" w14:paraId="1A9968D5" w14:textId="016423B0">
      <w:pPr>
        <w:pStyle w:val="Heading2"/>
        <w:ind w:left="111"/>
        <w:rPr>
          <w:color w:val="auto"/>
        </w:rPr>
      </w:pPr>
      <w:r w:rsidRPr="37D35C3F" w:rsidR="006A576E">
        <w:rPr>
          <w:rFonts w:ascii="Arial" w:hAnsi="Arial" w:eastAsia="Arial"/>
          <w:b w:val="0"/>
          <w:bCs w:val="0"/>
          <w:color w:val="auto"/>
        </w:rPr>
        <w:t>5</w:t>
      </w:r>
      <w:r w:rsidRPr="37D35C3F" w:rsidR="00D03085">
        <w:rPr>
          <w:rFonts w:ascii="Arial" w:hAnsi="Arial" w:eastAsia="Arial"/>
          <w:b w:val="0"/>
          <w:bCs w:val="0"/>
          <w:color w:val="auto"/>
        </w:rPr>
        <w:t>.5 Catering provider or catering staff</w:t>
      </w:r>
      <w:r w:rsidRPr="37D35C3F" w:rsidR="00057F18">
        <w:rPr>
          <w:rFonts w:ascii="Arial" w:hAnsi="Arial" w:eastAsia="Arial"/>
          <w:b w:val="0"/>
          <w:bCs w:val="0"/>
          <w:color w:val="auto"/>
        </w:rPr>
        <w:t xml:space="preserve"> will:</w:t>
      </w:r>
    </w:p>
    <w:p w:rsidR="00763D93" w:rsidP="37D35C3F" w:rsidRDefault="00763D93" w14:paraId="0B85A87B" w14:textId="5CBEC9C7">
      <w:pPr>
        <w:pStyle w:val="ListBullet"/>
        <w:tabs>
          <w:tab w:val="clear" w:pos="360"/>
          <w:tab w:val="num" w:pos="0"/>
          <w:tab w:val="num" w:pos="2617"/>
        </w:tabs>
        <w:ind w:left="1080"/>
        <w:rPr>
          <w:color w:val="auto"/>
        </w:rPr>
      </w:pPr>
      <w:r w:rsidRPr="37D35C3F" w:rsidR="00763D93">
        <w:rPr>
          <w:color w:val="auto"/>
        </w:rPr>
        <w:t>comply with food allergen information requirements and school procedures</w:t>
      </w:r>
    </w:p>
    <w:p w:rsidR="00763D93" w:rsidP="37D35C3F" w:rsidRDefault="00763D93" w14:paraId="219D3314" w14:textId="1E4FCBF5">
      <w:pPr>
        <w:pStyle w:val="ListBullet"/>
        <w:tabs>
          <w:tab w:val="clear" w:pos="360"/>
          <w:tab w:val="num" w:pos="0"/>
          <w:tab w:val="num" w:pos="2617"/>
        </w:tabs>
        <w:ind w:left="1080"/>
        <w:rPr>
          <w:color w:val="auto"/>
        </w:rPr>
      </w:pPr>
      <w:r w:rsidRPr="37D35C3F" w:rsidR="00763D93">
        <w:rPr>
          <w:color w:val="auto"/>
        </w:rPr>
        <w:t>maintain accurate allergen information for food provided by the school or catering provider</w:t>
      </w:r>
    </w:p>
    <w:p w:rsidR="00763D93" w:rsidP="37D35C3F" w:rsidRDefault="00763D93" w14:paraId="26BD492E" w14:textId="765048B9">
      <w:pPr>
        <w:pStyle w:val="ListBullet"/>
        <w:tabs>
          <w:tab w:val="clear" w:pos="360"/>
          <w:tab w:val="num" w:pos="0"/>
          <w:tab w:val="num" w:pos="2617"/>
        </w:tabs>
        <w:ind w:left="1080"/>
        <w:rPr>
          <w:color w:val="auto"/>
        </w:rPr>
      </w:pPr>
      <w:r w:rsidRPr="37D35C3F" w:rsidR="00763D93">
        <w:rPr>
          <w:color w:val="auto"/>
        </w:rPr>
        <w:t>take reasonable steps to reduce the risk of allergen cross-contact or cross-contamination</w:t>
      </w:r>
    </w:p>
    <w:p w:rsidR="00763D93" w:rsidP="37D35C3F" w:rsidRDefault="00763D93" w14:paraId="46AD250E" w14:textId="0102CF6E">
      <w:pPr>
        <w:pStyle w:val="ListBullet"/>
        <w:tabs>
          <w:tab w:val="clear" w:pos="360"/>
          <w:tab w:val="num" w:pos="0"/>
          <w:tab w:val="num" w:pos="2617"/>
        </w:tabs>
        <w:ind w:left="1080"/>
        <w:rPr>
          <w:color w:val="auto"/>
        </w:rPr>
      </w:pPr>
      <w:r w:rsidRPr="37D35C3F" w:rsidR="00763D93">
        <w:rPr>
          <w:color w:val="auto"/>
        </w:rPr>
        <w:t>know how pupils with food allergies are identified within the catering system</w:t>
      </w:r>
    </w:p>
    <w:p w:rsidR="00763D93" w:rsidP="37D35C3F" w:rsidRDefault="00763D93" w14:paraId="7B735E87" w14:textId="63DC69ED">
      <w:pPr>
        <w:pStyle w:val="ListBullet"/>
        <w:tabs>
          <w:tab w:val="clear" w:pos="360"/>
          <w:tab w:val="num" w:pos="0"/>
          <w:tab w:val="num" w:pos="2617"/>
        </w:tabs>
        <w:ind w:left="1080"/>
        <w:rPr>
          <w:color w:val="auto"/>
        </w:rPr>
      </w:pPr>
      <w:r w:rsidRPr="37D35C3F" w:rsidR="00763D93">
        <w:rPr>
          <w:color w:val="auto"/>
        </w:rPr>
        <w:t>work with the school and parents/carers to support special diets and safe meal provision</w:t>
      </w:r>
    </w:p>
    <w:p w:rsidR="00763D93" w:rsidP="37D35C3F" w:rsidRDefault="00763D93" w14:paraId="13FE5616" w14:textId="19D8A76E">
      <w:pPr>
        <w:pStyle w:val="ListBullet"/>
        <w:tabs>
          <w:tab w:val="clear" w:pos="360"/>
          <w:tab w:val="num" w:pos="0"/>
          <w:tab w:val="num" w:pos="2617"/>
        </w:tabs>
        <w:ind w:left="1080"/>
        <w:rPr>
          <w:color w:val="auto"/>
        </w:rPr>
      </w:pPr>
      <w:r w:rsidRPr="37D35C3F" w:rsidR="00763D93">
        <w:rPr>
          <w:color w:val="auto"/>
        </w:rPr>
        <w:t>check ingredients, product changes and substitutions before food is prepared or served</w:t>
      </w:r>
    </w:p>
    <w:p w:rsidR="00763D93" w:rsidP="37D35C3F" w:rsidRDefault="00763D93" w14:paraId="19F16348" w14:textId="279BEF58">
      <w:pPr>
        <w:pStyle w:val="ListBullet"/>
        <w:tabs>
          <w:tab w:val="clear" w:pos="360"/>
          <w:tab w:val="num" w:pos="0"/>
          <w:tab w:val="num" w:pos="2617"/>
        </w:tabs>
        <w:ind w:left="1080"/>
        <w:rPr>
          <w:color w:val="auto"/>
        </w:rPr>
      </w:pPr>
      <w:r w:rsidRPr="37D35C3F" w:rsidR="00763D93">
        <w:rPr>
          <w:color w:val="auto"/>
        </w:rPr>
        <w:t>report allergen concerns, errors, near misses or changes in ingredients to the school promptly.</w:t>
      </w:r>
    </w:p>
    <w:p w:rsidRPr="00775D4E" w:rsidR="00AB66DB" w:rsidP="37D35C3F" w:rsidRDefault="006A576E" w14:paraId="2AEF55B1" w14:textId="508AC9BF">
      <w:pPr>
        <w:pStyle w:val="Heading2"/>
        <w:ind w:left="111"/>
        <w:rPr>
          <w:color w:val="auto"/>
        </w:rPr>
      </w:pPr>
      <w:r w:rsidRPr="37D35C3F" w:rsidR="006A576E">
        <w:rPr>
          <w:rFonts w:ascii="Arial" w:hAnsi="Arial" w:eastAsia="Arial"/>
          <w:b w:val="0"/>
          <w:bCs w:val="0"/>
          <w:color w:val="auto"/>
        </w:rPr>
        <w:t>5</w:t>
      </w:r>
      <w:r w:rsidRPr="37D35C3F" w:rsidR="00D03085">
        <w:rPr>
          <w:rFonts w:ascii="Arial" w:hAnsi="Arial" w:eastAsia="Arial"/>
          <w:b w:val="0"/>
          <w:bCs w:val="0"/>
          <w:color w:val="auto"/>
        </w:rPr>
        <w:t>.6 Parents and carers</w:t>
      </w:r>
      <w:r w:rsidRPr="37D35C3F" w:rsidR="00057F18">
        <w:rPr>
          <w:rFonts w:ascii="Arial" w:hAnsi="Arial" w:eastAsia="Arial"/>
          <w:b w:val="0"/>
          <w:bCs w:val="0"/>
          <w:color w:val="auto"/>
        </w:rPr>
        <w:t xml:space="preserve"> are responsible for:</w:t>
      </w:r>
    </w:p>
    <w:p w:rsidR="00E40675" w:rsidP="37D35C3F" w:rsidRDefault="00E40675" w14:paraId="76A463E2" w14:textId="71095741">
      <w:pPr>
        <w:pStyle w:val="ListBullet"/>
        <w:rPr>
          <w:color w:val="auto"/>
        </w:rPr>
      </w:pPr>
      <w:r w:rsidRPr="37D35C3F" w:rsidR="00E40675">
        <w:rPr>
          <w:color w:val="auto"/>
        </w:rPr>
        <w:t>informing the school of their child’s allergy, previous reactions, medication and any changes in condition or treatment</w:t>
      </w:r>
    </w:p>
    <w:p w:rsidR="00734070" w:rsidP="37D35C3F" w:rsidRDefault="00734070" w14:paraId="758509CF" w14:textId="77777777">
      <w:pPr>
        <w:pStyle w:val="ListBullet"/>
        <w:rPr>
          <w:color w:val="auto"/>
        </w:rPr>
      </w:pPr>
      <w:r w:rsidRPr="37D35C3F" w:rsidR="00734070">
        <w:rPr>
          <w:color w:val="auto"/>
        </w:rPr>
        <w:t>providing an up-to-date Allergy Action Plan completed by, or based on advice from, a healthcare professional where the pupil has been diagnosed with an allergy or prescribed allergy medication</w:t>
      </w:r>
    </w:p>
    <w:p w:rsidR="00E40675" w:rsidP="37D35C3F" w:rsidRDefault="00E40675" w14:paraId="5221D8BC" w14:textId="2A6165A4">
      <w:pPr>
        <w:pStyle w:val="ListBullet"/>
        <w:rPr>
          <w:color w:val="auto"/>
        </w:rPr>
      </w:pPr>
      <w:r w:rsidRPr="37D35C3F" w:rsidR="00E40675">
        <w:rPr>
          <w:color w:val="auto"/>
        </w:rPr>
        <w:t>providing in-date medication, including two AAIs where prescribed, in the correct dosage and original packaging</w:t>
      </w:r>
    </w:p>
    <w:p w:rsidR="00E40675" w:rsidP="37D35C3F" w:rsidRDefault="00E40675" w14:paraId="7784943D" w14:textId="08271A63">
      <w:pPr>
        <w:pStyle w:val="ListBullet"/>
        <w:rPr>
          <w:color w:val="auto"/>
        </w:rPr>
      </w:pPr>
      <w:r w:rsidRPr="37D35C3F" w:rsidR="00E40675">
        <w:rPr>
          <w:color w:val="auto"/>
        </w:rPr>
        <w:t>replacing medication before expiry or following use</w:t>
      </w:r>
    </w:p>
    <w:p w:rsidR="00E8283D" w:rsidP="37D35C3F" w:rsidRDefault="00E40675" w14:paraId="702603A9" w14:textId="77777777">
      <w:pPr>
        <w:pStyle w:val="ListBullet"/>
        <w:rPr>
          <w:color w:val="auto"/>
        </w:rPr>
      </w:pPr>
      <w:r w:rsidRPr="37D35C3F" w:rsidR="00E40675">
        <w:rPr>
          <w:color w:val="auto"/>
        </w:rPr>
        <w:t>ensuring the school has current emergency contact details</w:t>
      </w:r>
    </w:p>
    <w:p w:rsidR="00E8283D" w:rsidP="37D35C3F" w:rsidRDefault="00E8283D" w14:paraId="39E8D12F" w14:textId="77777777">
      <w:pPr>
        <w:pStyle w:val="ListBullet"/>
        <w:rPr>
          <w:color w:val="auto"/>
        </w:rPr>
      </w:pPr>
      <w:r w:rsidRPr="37D35C3F" w:rsidR="00E8283D">
        <w:rPr>
          <w:color w:val="auto"/>
        </w:rPr>
        <w:t>completing the school’s parental agreement for administration of medicine form where prescribed allergy medication, antihistamine, adrenaline auto-injectors or other allergy medication is to be held or administered in school</w:t>
      </w:r>
    </w:p>
    <w:p w:rsidR="00E40675" w:rsidP="37D35C3F" w:rsidRDefault="00E40675" w14:paraId="5C3C732C" w14:textId="630E6295">
      <w:pPr>
        <w:pStyle w:val="ListBullet"/>
        <w:rPr>
          <w:color w:val="auto"/>
        </w:rPr>
      </w:pPr>
      <w:r w:rsidRPr="37D35C3F" w:rsidR="00E40675">
        <w:rPr>
          <w:color w:val="auto"/>
        </w:rPr>
        <w:t>supporting their child, where age appropriate, to understand their allergy, avoid allergens and seek help quickly</w:t>
      </w:r>
    </w:p>
    <w:p w:rsidR="00E40675" w:rsidP="37D35C3F" w:rsidRDefault="00E40675" w14:paraId="014F4EB1" w14:textId="5A5A67F0">
      <w:pPr>
        <w:pStyle w:val="ListBullet"/>
        <w:rPr>
          <w:color w:val="auto"/>
        </w:rPr>
      </w:pPr>
      <w:r w:rsidRPr="37D35C3F" w:rsidR="00E40675">
        <w:rPr>
          <w:color w:val="auto"/>
        </w:rPr>
        <w:t>engaging with the school and catering provider where special diet arrangements or reasonable adjustments are needed.</w:t>
      </w:r>
    </w:p>
    <w:p w:rsidRPr="00775D4E" w:rsidR="00AB66DB" w:rsidP="37D35C3F" w:rsidRDefault="006A576E" w14:paraId="47838BFF" w14:textId="7B4249CA">
      <w:pPr>
        <w:pStyle w:val="Heading2"/>
        <w:ind w:left="111"/>
        <w:rPr>
          <w:color w:val="auto"/>
        </w:rPr>
      </w:pPr>
      <w:r w:rsidRPr="37D35C3F" w:rsidR="006A576E">
        <w:rPr>
          <w:rFonts w:ascii="Arial" w:hAnsi="Arial" w:eastAsia="Arial"/>
          <w:b w:val="0"/>
          <w:bCs w:val="0"/>
          <w:color w:val="auto"/>
        </w:rPr>
        <w:t>5</w:t>
      </w:r>
      <w:r w:rsidRPr="37D35C3F" w:rsidR="00D03085">
        <w:rPr>
          <w:rFonts w:ascii="Arial" w:hAnsi="Arial" w:eastAsia="Arial"/>
          <w:b w:val="0"/>
          <w:bCs w:val="0"/>
          <w:color w:val="auto"/>
        </w:rPr>
        <w:t xml:space="preserve">.7 </w:t>
      </w:r>
      <w:r w:rsidRPr="37D35C3F" w:rsidR="00AC3866">
        <w:rPr>
          <w:rFonts w:ascii="Arial" w:hAnsi="Arial" w:eastAsia="Arial"/>
          <w:b w:val="0"/>
          <w:bCs w:val="0"/>
          <w:color w:val="auto"/>
        </w:rPr>
        <w:t xml:space="preserve">Pupils will be supported, according to their age, maturity and understanding, </w:t>
      </w:r>
      <w:r w:rsidRPr="37D35C3F" w:rsidR="00AC3866">
        <w:rPr>
          <w:rFonts w:ascii="Arial" w:hAnsi="Arial" w:eastAsia="Arial"/>
          <w:b w:val="0"/>
          <w:bCs w:val="0"/>
          <w:color w:val="auto"/>
        </w:rPr>
        <w:t>to</w:t>
      </w:r>
      <w:r w:rsidRPr="37D35C3F" w:rsidR="00AC3866">
        <w:rPr>
          <w:rFonts w:ascii="Arial" w:hAnsi="Arial" w:eastAsia="Arial"/>
          <w:b w:val="0"/>
          <w:bCs w:val="0"/>
          <w:color w:val="auto"/>
        </w:rPr>
        <w:t>:</w:t>
      </w:r>
    </w:p>
    <w:p w:rsidR="00AC3866" w:rsidP="37D35C3F" w:rsidRDefault="00AC3866" w14:paraId="148F5F8E" w14:textId="39A119A1">
      <w:pPr>
        <w:pStyle w:val="ListBullet"/>
        <w:rPr>
          <w:color w:val="auto"/>
        </w:rPr>
      </w:pPr>
      <w:r w:rsidRPr="37D35C3F" w:rsidR="00AC3866">
        <w:rPr>
          <w:color w:val="auto"/>
        </w:rPr>
        <w:t>tell an adult immediately if they feel unwell or think they may be having an allergic reaction</w:t>
      </w:r>
    </w:p>
    <w:p w:rsidR="00AC3866" w:rsidP="37D35C3F" w:rsidRDefault="00AC3866" w14:paraId="5B5177B1" w14:textId="7460FBB1">
      <w:pPr>
        <w:pStyle w:val="ListBullet"/>
        <w:rPr>
          <w:color w:val="auto"/>
        </w:rPr>
      </w:pPr>
      <w:r w:rsidRPr="37D35C3F" w:rsidR="00AC3866">
        <w:rPr>
          <w:color w:val="auto"/>
        </w:rPr>
        <w:t>avoid sharing or swapping food and avoid foods with unknown ingredients</w:t>
      </w:r>
    </w:p>
    <w:p w:rsidR="00AC3866" w:rsidP="37D35C3F" w:rsidRDefault="00AC3866" w14:paraId="5F69A87A" w14:textId="47A4BD12">
      <w:pPr>
        <w:pStyle w:val="ListBullet"/>
        <w:rPr>
          <w:color w:val="auto"/>
        </w:rPr>
      </w:pPr>
      <w:r w:rsidRPr="37D35C3F" w:rsidR="00AC3866">
        <w:rPr>
          <w:color w:val="auto"/>
        </w:rPr>
        <w:t>carry their medication where this has been agreed</w:t>
      </w:r>
    </w:p>
    <w:p w:rsidR="00AC3866" w:rsidP="37D35C3F" w:rsidRDefault="00AC3866" w14:paraId="73712EBA" w14:textId="15F63A7A">
      <w:pPr>
        <w:pStyle w:val="ListBullet"/>
        <w:rPr>
          <w:color w:val="auto"/>
        </w:rPr>
      </w:pPr>
      <w:r w:rsidRPr="37D35C3F" w:rsidR="00AC3866">
        <w:rPr>
          <w:color w:val="auto"/>
        </w:rPr>
        <w:t>use only their own medication and never share medication with another pupil</w:t>
      </w:r>
    </w:p>
    <w:p w:rsidR="00AC3866" w:rsidP="37D35C3F" w:rsidRDefault="00AC3866" w14:paraId="581A90AD" w14:textId="222E131E">
      <w:pPr>
        <w:pStyle w:val="ListBullet"/>
        <w:rPr>
          <w:color w:val="auto"/>
        </w:rPr>
      </w:pPr>
      <w:r w:rsidRPr="37D35C3F" w:rsidR="00AC3866">
        <w:rPr>
          <w:color w:val="auto"/>
        </w:rPr>
        <w:t>act safely and respectfully towards pupils with allergies</w:t>
      </w:r>
    </w:p>
    <w:p w:rsidR="00AC3866" w:rsidP="37D35C3F" w:rsidRDefault="00AC3866" w14:paraId="7E711884" w14:textId="5CA03399">
      <w:pPr>
        <w:pStyle w:val="ListBullet"/>
        <w:rPr>
          <w:color w:val="auto"/>
        </w:rPr>
      </w:pPr>
      <w:r w:rsidRPr="37D35C3F" w:rsidR="00AC3866">
        <w:rPr>
          <w:color w:val="auto"/>
        </w:rPr>
        <w:t>take increasing responsibility for allergy self-management where appropriate.</w:t>
      </w:r>
    </w:p>
    <w:p w:rsidRPr="00775D4E" w:rsidR="00AB66DB" w:rsidP="37D35C3F" w:rsidRDefault="006A576E" w14:paraId="1793E938" w14:textId="52FD9C63">
      <w:pPr>
        <w:pStyle w:val="Heading1"/>
        <w:spacing w:line="360" w:lineRule="auto"/>
        <w:rPr>
          <w:color w:val="auto"/>
        </w:rPr>
      </w:pPr>
      <w:r w:rsidRPr="37D35C3F" w:rsidR="006A576E">
        <w:rPr>
          <w:rFonts w:ascii="Arial" w:hAnsi="Arial" w:eastAsia="Arial"/>
          <w:color w:val="auto"/>
        </w:rPr>
        <w:t>6</w:t>
      </w:r>
      <w:r w:rsidRPr="37D35C3F" w:rsidR="00D03085">
        <w:rPr>
          <w:rFonts w:ascii="Arial" w:hAnsi="Arial" w:eastAsia="Arial"/>
          <w:color w:val="auto"/>
        </w:rPr>
        <w:t>. Identification of pupils with allergies</w:t>
      </w:r>
    </w:p>
    <w:p w:rsidR="00911A03" w:rsidP="37D35C3F" w:rsidRDefault="00911A03" w14:paraId="2B727AA5" w14:textId="77777777">
      <w:pPr>
        <w:spacing w:after="0"/>
        <w:rPr>
          <w:color w:val="auto"/>
        </w:rPr>
      </w:pPr>
      <w:r w:rsidRPr="37D35C3F" w:rsidR="00911A03">
        <w:rPr>
          <w:color w:val="auto"/>
        </w:rPr>
        <w:t xml:space="preserve">The school will ask parents/carers to provide </w:t>
      </w:r>
      <w:r w:rsidRPr="37D35C3F" w:rsidR="00911A03">
        <w:rPr>
          <w:color w:val="auto"/>
        </w:rPr>
        <w:t>allergy</w:t>
      </w:r>
      <w:r w:rsidRPr="37D35C3F" w:rsidR="00911A03">
        <w:rPr>
          <w:color w:val="auto"/>
        </w:rPr>
        <w:t xml:space="preserve"> and medical information as part of admission, transition and whenever there is a change in a pupil’s health. Information may also be gathered from the </w:t>
      </w:r>
      <w:r w:rsidRPr="37D35C3F" w:rsidR="00911A03">
        <w:rPr>
          <w:color w:val="auto"/>
        </w:rPr>
        <w:t>pupil</w:t>
      </w:r>
      <w:r w:rsidRPr="37D35C3F" w:rsidR="00911A03">
        <w:rPr>
          <w:color w:val="auto"/>
        </w:rPr>
        <w:t xml:space="preserve"> where appropriate, previous settings and relevant healthcare professionals where available.</w:t>
      </w:r>
    </w:p>
    <w:p w:rsidR="00911A03" w:rsidP="37D35C3F" w:rsidRDefault="00911A03" w14:paraId="61D7E388" w14:textId="77777777">
      <w:pPr>
        <w:spacing w:after="0"/>
        <w:rPr>
          <w:color w:val="auto"/>
        </w:rPr>
      </w:pPr>
    </w:p>
    <w:p w:rsidR="00911A03" w:rsidP="37D35C3F" w:rsidRDefault="00911A03" w14:paraId="3240BF36" w14:textId="77777777">
      <w:pPr>
        <w:spacing w:after="0"/>
        <w:rPr>
          <w:color w:val="auto"/>
        </w:rPr>
      </w:pPr>
      <w:r w:rsidRPr="37D35C3F" w:rsidR="00911A03">
        <w:rPr>
          <w:color w:val="auto"/>
        </w:rPr>
        <w:t xml:space="preserve">Parents/carers are responsible for informing the school promptly if their child is diagnosed with an allergy, prescribed allergy medication, has a change in medication, has an updated Allergy Action Plan, or is advised to avoid </w:t>
      </w:r>
      <w:r w:rsidRPr="37D35C3F" w:rsidR="00911A03">
        <w:rPr>
          <w:color w:val="auto"/>
        </w:rPr>
        <w:t>particular allergens</w:t>
      </w:r>
      <w:r w:rsidRPr="37D35C3F" w:rsidR="00911A03">
        <w:rPr>
          <w:color w:val="auto"/>
        </w:rPr>
        <w:t>.</w:t>
      </w:r>
    </w:p>
    <w:p w:rsidR="00911A03" w:rsidP="37D35C3F" w:rsidRDefault="00911A03" w14:paraId="78F4362F" w14:textId="77777777">
      <w:pPr>
        <w:spacing w:after="0"/>
        <w:rPr>
          <w:color w:val="auto"/>
        </w:rPr>
      </w:pPr>
    </w:p>
    <w:p w:rsidR="00911A03" w:rsidP="37D35C3F" w:rsidRDefault="00911A03" w14:paraId="4BCF926C" w14:textId="77777777">
      <w:pPr>
        <w:spacing w:after="0"/>
        <w:rPr>
          <w:color w:val="auto"/>
        </w:rPr>
      </w:pPr>
      <w:r w:rsidRPr="37D35C3F" w:rsidR="00911A03">
        <w:rPr>
          <w:color w:val="auto"/>
        </w:rPr>
        <w:t>The school will maintain an allergy register for pupils with known allergies. The register will include relevant information about known allergens, medication, whether an Allergy Action Plan or Individual Healthcare Plan is in place, and any key emergency arrangements.</w:t>
      </w:r>
    </w:p>
    <w:p w:rsidR="00911A03" w:rsidP="37D35C3F" w:rsidRDefault="00911A03" w14:paraId="7531220E" w14:textId="77777777">
      <w:pPr>
        <w:spacing w:after="0"/>
        <w:rPr>
          <w:color w:val="auto"/>
        </w:rPr>
      </w:pPr>
    </w:p>
    <w:p w:rsidR="00911A03" w:rsidP="37D35C3F" w:rsidRDefault="00911A03" w14:paraId="78F477B5" w14:textId="77777777">
      <w:pPr>
        <w:spacing w:after="0"/>
        <w:rPr>
          <w:color w:val="auto"/>
        </w:rPr>
      </w:pPr>
      <w:r w:rsidRPr="37D35C3F" w:rsidR="00911A03">
        <w:rPr>
          <w:color w:val="auto"/>
        </w:rPr>
        <w:t>Relevant allergy information will be shared with staff who need it to keep pupils safe. The school will ensure staff know where to access current information, how updates are communicated, and where emergency medication is stored.</w:t>
      </w:r>
    </w:p>
    <w:p w:rsidR="00911A03" w:rsidP="37D35C3F" w:rsidRDefault="00911A03" w14:paraId="55A14813" w14:textId="77777777">
      <w:pPr>
        <w:spacing w:after="0"/>
        <w:rPr>
          <w:color w:val="auto"/>
        </w:rPr>
      </w:pPr>
    </w:p>
    <w:p w:rsidR="00911A03" w:rsidP="37D35C3F" w:rsidRDefault="00911A03" w14:paraId="4CA7F399" w14:textId="2756DB58">
      <w:pPr>
        <w:spacing w:after="0"/>
        <w:rPr>
          <w:color w:val="auto"/>
        </w:rPr>
      </w:pPr>
      <w:r w:rsidRPr="37D35C3F" w:rsidR="00911A03">
        <w:rPr>
          <w:color w:val="auto"/>
        </w:rPr>
        <w:t>Where allergy arrangements are relevant to staff or visitors, the school will take reasonable and proportionate steps to manage known allergy risks, particularly where food is provided or exposure to known allergens may be reasonably foreseeable.</w:t>
      </w:r>
    </w:p>
    <w:p w:rsidRPr="00775D4E" w:rsidR="00AB66DB" w:rsidP="37D35C3F" w:rsidRDefault="006A576E" w14:paraId="0E180621" w14:textId="5F06D01D">
      <w:pPr>
        <w:pStyle w:val="Heading1"/>
        <w:spacing w:line="360" w:lineRule="auto"/>
        <w:rPr>
          <w:color w:val="auto"/>
        </w:rPr>
      </w:pPr>
      <w:r w:rsidRPr="37D35C3F" w:rsidR="006A576E">
        <w:rPr>
          <w:rFonts w:ascii="Arial" w:hAnsi="Arial" w:eastAsia="Arial"/>
          <w:color w:val="auto"/>
        </w:rPr>
        <w:t>7</w:t>
      </w:r>
      <w:r w:rsidRPr="37D35C3F" w:rsidR="00D03085">
        <w:rPr>
          <w:rFonts w:ascii="Arial" w:hAnsi="Arial" w:eastAsia="Arial"/>
          <w:color w:val="auto"/>
        </w:rPr>
        <w:t>. Allergy Action Plans and Individual Healthcare Plans</w:t>
      </w:r>
    </w:p>
    <w:p w:rsidR="00F46C64" w:rsidP="37D35C3F" w:rsidRDefault="00F46C64" w14:paraId="582FCE28" w14:textId="77777777">
      <w:pPr>
        <w:rPr>
          <w:color w:val="auto"/>
        </w:rPr>
      </w:pPr>
      <w:r w:rsidRPr="37D35C3F" w:rsidR="00F46C64">
        <w:rPr>
          <w:color w:val="auto"/>
        </w:rPr>
        <w:t xml:space="preserve">Where a healthcare professional has issued an Allergy Action Plan, the school will use this to support the pupil’s allergy arrangements. The plan should set out the pupil’s known allergens, symptoms, medication and emergency actions. </w:t>
      </w:r>
    </w:p>
    <w:p w:rsidR="00F54B18" w:rsidP="37D35C3F" w:rsidRDefault="00F54B18" w14:paraId="3696C0E8" w14:textId="35F6CD54">
      <w:pPr>
        <w:rPr>
          <w:color w:val="auto"/>
        </w:rPr>
      </w:pPr>
      <w:r w:rsidRPr="37D35C3F" w:rsidR="00F54B18">
        <w:rPr>
          <w:color w:val="auto"/>
        </w:rPr>
        <w:t>The school will not rewrite clinical instructions from an Allergy Action Plan. Where an Allergy Action Plan has been provided, it will be attached to, or clearly referenced within, the pupil’s Individual Healthcare Plan where required.</w:t>
      </w:r>
    </w:p>
    <w:p w:rsidR="00F54B18" w:rsidP="37D35C3F" w:rsidRDefault="00F54B18" w14:paraId="73E628D4" w14:textId="77777777">
      <w:pPr>
        <w:rPr>
          <w:color w:val="auto"/>
        </w:rPr>
      </w:pPr>
      <w:r w:rsidRPr="37D35C3F" w:rsidR="00F54B18">
        <w:rPr>
          <w:color w:val="auto"/>
        </w:rPr>
        <w:t xml:space="preserve">An Individual Healthcare Plan will be used where a pupil’s allergy has a functional impact in school, the pupil is at risk of harm </w:t>
      </w:r>
      <w:r w:rsidRPr="37D35C3F" w:rsidR="00F54B18">
        <w:rPr>
          <w:color w:val="auto"/>
        </w:rPr>
        <w:t>as a result of</w:t>
      </w:r>
      <w:r w:rsidRPr="37D35C3F" w:rsidR="00F54B18">
        <w:rPr>
          <w:color w:val="auto"/>
        </w:rPr>
        <w:t xml:space="preserve"> the allergy, and the pupil requires arrangements that are additional to, or different from, those made generally. This may include arrangements for medication, emergency response, reasonable adjustments, specific allergy controls, visits, clubs or school activities.</w:t>
      </w:r>
    </w:p>
    <w:p w:rsidR="00F54B18" w:rsidP="37D35C3F" w:rsidRDefault="00F54B18" w14:paraId="621677A0" w14:textId="77777777">
      <w:pPr>
        <w:rPr>
          <w:color w:val="auto"/>
        </w:rPr>
      </w:pPr>
      <w:r w:rsidRPr="37D35C3F" w:rsidR="00F54B18">
        <w:rPr>
          <w:color w:val="auto"/>
        </w:rPr>
        <w:t xml:space="preserve">The Individual Healthcare Plan will describe the arrangements the school will put in place to support the </w:t>
      </w:r>
      <w:r w:rsidRPr="37D35C3F" w:rsidR="00F54B18">
        <w:rPr>
          <w:color w:val="auto"/>
        </w:rPr>
        <w:t>pupil</w:t>
      </w:r>
      <w:r w:rsidRPr="37D35C3F" w:rsidR="00F54B18">
        <w:rPr>
          <w:color w:val="auto"/>
        </w:rPr>
        <w:t>. It is not a clinical document and does not replace clinical advice, Allergy Action Plans, Asthma Action Plans or care plans issued by healthcare professionals.</w:t>
      </w:r>
    </w:p>
    <w:p w:rsidR="00202856" w:rsidP="37D35C3F" w:rsidRDefault="00202856" w14:paraId="65533602" w14:textId="77777777">
      <w:pPr>
        <w:rPr>
          <w:color w:val="auto"/>
        </w:rPr>
      </w:pPr>
      <w:r w:rsidRPr="37D35C3F" w:rsidR="00202856">
        <w:rPr>
          <w:color w:val="auto"/>
        </w:rPr>
        <w:t xml:space="preserve">The Individual Healthcare Plan will be developed with parents/carers, the </w:t>
      </w:r>
      <w:r w:rsidRPr="37D35C3F" w:rsidR="00202856">
        <w:rPr>
          <w:color w:val="auto"/>
        </w:rPr>
        <w:t>pupil</w:t>
      </w:r>
      <w:r w:rsidRPr="37D35C3F" w:rsidR="00202856">
        <w:rPr>
          <w:color w:val="auto"/>
        </w:rPr>
        <w:t xml:space="preserve"> where appropriate, relevant school staff and relevant healthcare professionals where clinical advice, medication, emergency treatment or specialist arrangements are required.</w:t>
      </w:r>
    </w:p>
    <w:p w:rsidR="00F54B18" w:rsidP="37D35C3F" w:rsidRDefault="00F54B18" w14:paraId="1801F63B" w14:textId="77777777">
      <w:pPr>
        <w:rPr>
          <w:color w:val="auto"/>
        </w:rPr>
      </w:pPr>
      <w:r w:rsidRPr="37D35C3F" w:rsidR="00F54B18">
        <w:rPr>
          <w:color w:val="auto"/>
        </w:rPr>
        <w:t xml:space="preserve">The school will review Allergy Action Plans, Asthma Action Plans and Individual Healthcare Plans at least annually, or </w:t>
      </w:r>
      <w:r w:rsidRPr="37D35C3F" w:rsidR="00F54B18">
        <w:rPr>
          <w:color w:val="auto"/>
        </w:rPr>
        <w:t>sooner where</w:t>
      </w:r>
      <w:r w:rsidRPr="37D35C3F" w:rsidR="00F54B18">
        <w:rPr>
          <w:color w:val="auto"/>
        </w:rPr>
        <w:t xml:space="preserve"> there is a change in the pupil’s allergy, medication, emergency arrangements, healthcare advice, school activities, or following a serious allergic reaction or significant near miss.</w:t>
      </w:r>
    </w:p>
    <w:p w:rsidR="00F54B18" w:rsidP="37D35C3F" w:rsidRDefault="00F54B18" w14:paraId="43720E8A" w14:textId="1F4E81AC">
      <w:pPr>
        <w:rPr>
          <w:color w:val="auto"/>
        </w:rPr>
      </w:pPr>
      <w:r w:rsidRPr="37D35C3F" w:rsidR="00F54B18">
        <w:rPr>
          <w:color w:val="auto"/>
        </w:rPr>
        <w:t>Where an Individual Healthcare Plan is required, the school will use the relevant</w:t>
      </w:r>
      <w:r w:rsidRPr="37D35C3F" w:rsidR="006F5423">
        <w:rPr>
          <w:color w:val="auto"/>
        </w:rPr>
        <w:t xml:space="preserve"> </w:t>
      </w:r>
      <w:hyperlink r:id="Rec5bec7d7c62429e">
        <w:r w:rsidRPr="37D35C3F" w:rsidR="006F5423">
          <w:rPr>
            <w:rStyle w:val="Hyperlink"/>
            <w:color w:val="auto"/>
          </w:rPr>
          <w:t>DfE</w:t>
        </w:r>
        <w:r w:rsidRPr="37D35C3F" w:rsidR="006F5423">
          <w:rPr>
            <w:rStyle w:val="Hyperlink"/>
            <w:color w:val="auto"/>
          </w:rPr>
          <w:t>'s Supporting Pupils at School with Medical Conditions guidance and associated templates</w:t>
        </w:r>
      </w:hyperlink>
      <w:r w:rsidRPr="37D35C3F" w:rsidR="00F54B18">
        <w:rPr>
          <w:color w:val="auto"/>
        </w:rPr>
        <w:t xml:space="preserve"> </w:t>
      </w:r>
      <w:r w:rsidRPr="37D35C3F" w:rsidR="006F5423">
        <w:rPr>
          <w:color w:val="auto"/>
        </w:rPr>
        <w:t xml:space="preserve">that are also </w:t>
      </w:r>
      <w:r w:rsidRPr="37D35C3F" w:rsidR="00F54B18">
        <w:rPr>
          <w:color w:val="auto"/>
        </w:rPr>
        <w:t>signposted in the Derbyshire County Council Supporting Pupils with Medical Needs Guidance, or an equivalent local format that captures the same information.</w:t>
      </w:r>
    </w:p>
    <w:p w:rsidRPr="00775D4E" w:rsidR="00AB66DB" w:rsidP="37D35C3F" w:rsidRDefault="006A576E" w14:paraId="51F8E21D" w14:textId="5295A433">
      <w:pPr>
        <w:pStyle w:val="Heading1"/>
        <w:spacing w:before="240" w:line="360" w:lineRule="auto"/>
        <w:rPr>
          <w:color w:val="auto"/>
        </w:rPr>
      </w:pPr>
      <w:r w:rsidRPr="37D35C3F" w:rsidR="006A576E">
        <w:rPr>
          <w:rFonts w:ascii="Arial" w:hAnsi="Arial" w:eastAsia="Arial"/>
          <w:color w:val="auto"/>
        </w:rPr>
        <w:t>8</w:t>
      </w:r>
      <w:r w:rsidRPr="37D35C3F" w:rsidR="00D03085">
        <w:rPr>
          <w:rFonts w:ascii="Arial" w:hAnsi="Arial" w:eastAsia="Arial"/>
          <w:color w:val="auto"/>
        </w:rPr>
        <w:t>. Individual allergy risk assessment</w:t>
      </w:r>
    </w:p>
    <w:p w:rsidR="005E5527" w:rsidP="37D35C3F" w:rsidRDefault="005E5527" w14:paraId="2C0EDC32" w14:textId="77777777">
      <w:pPr>
        <w:rPr>
          <w:color w:val="auto"/>
        </w:rPr>
      </w:pPr>
      <w:r w:rsidRPr="37D35C3F" w:rsidR="005E5527">
        <w:rPr>
          <w:color w:val="auto"/>
        </w:rPr>
        <w:t>The school will consider whether an Individual Allergy Risk Assessment is required where a pupil’s allergy presents a significant or pupil-specific risk, the pupil is prescribed adrenaline devices or is at risk of anaphylaxis, or where additional controls are needed beyond the school’s general allergy safety arrangements. Any assessment will be proportionate to the pupil’s needs and the circumstances being assessed.</w:t>
      </w:r>
    </w:p>
    <w:p w:rsidR="00EA025B" w:rsidP="37D35C3F" w:rsidRDefault="00EA025B" w14:paraId="77BD9E9D" w14:textId="700FDFF0">
      <w:pPr>
        <w:rPr>
          <w:color w:val="auto"/>
        </w:rPr>
      </w:pPr>
      <w:r w:rsidRPr="37D35C3F" w:rsidR="00EA025B">
        <w:rPr>
          <w:color w:val="auto"/>
        </w:rPr>
        <w:t xml:space="preserve">The assessment will be proportionate to the pupil’s needs and completed in consultation with parents/carers, the </w:t>
      </w:r>
      <w:r w:rsidRPr="37D35C3F" w:rsidR="00EA025B">
        <w:rPr>
          <w:color w:val="auto"/>
        </w:rPr>
        <w:t>pupil</w:t>
      </w:r>
      <w:r w:rsidRPr="37D35C3F" w:rsidR="00EA025B">
        <w:rPr>
          <w:color w:val="auto"/>
        </w:rPr>
        <w:t xml:space="preserve"> where appropriate, and relevant staff. Healthcare professional advice should be used where available. Where direct healthcare professional involvement is not available, the school should use the clinical information provided in the pupil’s Allergy Action Plan or other healthcare professional documentation.</w:t>
      </w:r>
    </w:p>
    <w:p w:rsidR="00806693" w:rsidP="37D35C3F" w:rsidRDefault="00806693" w14:paraId="60B6A1C4" w14:textId="243E9197">
      <w:pPr>
        <w:rPr>
          <w:color w:val="auto"/>
        </w:rPr>
      </w:pPr>
      <w:r w:rsidRPr="37D35C3F" w:rsidR="00806693">
        <w:rPr>
          <w:color w:val="auto"/>
        </w:rPr>
        <w:t>The school should use the Individual Allergy Risk Assessment template available from S4S Health, Safety and Wellbeing</w:t>
      </w:r>
      <w:r w:rsidRPr="37D35C3F" w:rsidR="00806693">
        <w:rPr>
          <w:color w:val="auto"/>
        </w:rPr>
        <w:t xml:space="preserve"> -</w:t>
      </w:r>
      <w:r w:rsidRPr="37D35C3F" w:rsidR="00806693">
        <w:rPr>
          <w:color w:val="auto"/>
        </w:rPr>
        <w:t xml:space="preserve"> Resources - Risk Assessment Section to support the assessment of pupil-specific allergy risks across medication, catering, curriculum activities, visits, clubs, events, inclusion and emergency arrangements.</w:t>
      </w:r>
    </w:p>
    <w:p w:rsidR="00BC43CB" w:rsidP="37D35C3F" w:rsidRDefault="00BC43CB" w14:paraId="1FD5F4D4" w14:textId="16F21905">
      <w:pPr>
        <w:rPr>
          <w:color w:val="auto"/>
        </w:rPr>
      </w:pPr>
      <w:r w:rsidRPr="37D35C3F" w:rsidR="00BC43CB">
        <w:rPr>
          <w:color w:val="auto"/>
        </w:rPr>
        <w:t xml:space="preserve">The risk assessment will </w:t>
      </w:r>
      <w:r w:rsidRPr="37D35C3F" w:rsidR="00BC43CB">
        <w:rPr>
          <w:color w:val="auto"/>
        </w:rPr>
        <w:t>consider,</w:t>
      </w:r>
      <w:r w:rsidRPr="37D35C3F" w:rsidR="00BC43CB">
        <w:rPr>
          <w:color w:val="auto"/>
        </w:rPr>
        <w:t xml:space="preserve"> where relevant:</w:t>
      </w:r>
    </w:p>
    <w:p w:rsidR="00BC43CB" w:rsidP="37D35C3F" w:rsidRDefault="00BC43CB" w14:paraId="192006EF" w14:textId="58B1A024">
      <w:pPr>
        <w:pStyle w:val="ListParagraph"/>
        <w:numPr>
          <w:ilvl w:val="0"/>
          <w:numId w:val="13"/>
        </w:numPr>
        <w:rPr>
          <w:color w:val="auto"/>
        </w:rPr>
      </w:pPr>
      <w:r w:rsidRPr="37D35C3F" w:rsidR="00BC43CB">
        <w:rPr>
          <w:color w:val="auto"/>
        </w:rPr>
        <w:t>known allergens and likely exposure routes</w:t>
      </w:r>
    </w:p>
    <w:p w:rsidR="00BC43CB" w:rsidP="37D35C3F" w:rsidRDefault="00BC43CB" w14:paraId="7CB6B418" w14:textId="50F48267">
      <w:pPr>
        <w:pStyle w:val="ListParagraph"/>
        <w:numPr>
          <w:ilvl w:val="0"/>
          <w:numId w:val="13"/>
        </w:numPr>
        <w:rPr>
          <w:color w:val="auto"/>
        </w:rPr>
      </w:pPr>
      <w:r w:rsidRPr="37D35C3F" w:rsidR="00BC43CB">
        <w:rPr>
          <w:color w:val="auto"/>
        </w:rPr>
        <w:t>classroom, curriculum and practical activities</w:t>
      </w:r>
    </w:p>
    <w:p w:rsidR="00BC43CB" w:rsidP="37D35C3F" w:rsidRDefault="00BC43CB" w14:paraId="0828028B" w14:textId="78E0D433">
      <w:pPr>
        <w:pStyle w:val="ListParagraph"/>
        <w:numPr>
          <w:ilvl w:val="0"/>
          <w:numId w:val="13"/>
        </w:numPr>
        <w:rPr>
          <w:color w:val="auto"/>
        </w:rPr>
      </w:pPr>
      <w:r w:rsidRPr="37D35C3F" w:rsidR="00BC43CB">
        <w:rPr>
          <w:color w:val="auto"/>
        </w:rPr>
        <w:t>lunchtime and catering arrangements</w:t>
      </w:r>
    </w:p>
    <w:p w:rsidR="00BC43CB" w:rsidP="37D35C3F" w:rsidRDefault="00BC43CB" w14:paraId="01F651DC" w14:textId="308D7B1E">
      <w:pPr>
        <w:pStyle w:val="ListParagraph"/>
        <w:numPr>
          <w:ilvl w:val="0"/>
          <w:numId w:val="13"/>
        </w:numPr>
        <w:rPr>
          <w:color w:val="auto"/>
        </w:rPr>
      </w:pPr>
      <w:r w:rsidRPr="37D35C3F" w:rsidR="00BC43CB">
        <w:rPr>
          <w:color w:val="auto"/>
        </w:rPr>
        <w:t>breakfast clubs, after-school clubs and wraparound care</w:t>
      </w:r>
    </w:p>
    <w:p w:rsidR="00BC43CB" w:rsidP="37D35C3F" w:rsidRDefault="00BC43CB" w14:paraId="61AF23B6" w14:textId="28B70E6C">
      <w:pPr>
        <w:pStyle w:val="ListParagraph"/>
        <w:numPr>
          <w:ilvl w:val="0"/>
          <w:numId w:val="13"/>
        </w:numPr>
        <w:rPr>
          <w:color w:val="auto"/>
        </w:rPr>
      </w:pPr>
      <w:r w:rsidRPr="37D35C3F" w:rsidR="00BC43CB">
        <w:rPr>
          <w:color w:val="auto"/>
        </w:rPr>
        <w:t>school trips, residential visits and sporting fixtures</w:t>
      </w:r>
    </w:p>
    <w:p w:rsidR="00BC43CB" w:rsidP="37D35C3F" w:rsidRDefault="00BC43CB" w14:paraId="16F9DF34" w14:textId="73012DA9">
      <w:pPr>
        <w:pStyle w:val="ListParagraph"/>
        <w:numPr>
          <w:ilvl w:val="0"/>
          <w:numId w:val="13"/>
        </w:numPr>
        <w:rPr>
          <w:color w:val="auto"/>
        </w:rPr>
      </w:pPr>
      <w:r w:rsidRPr="37D35C3F" w:rsidR="00BC43CB">
        <w:rPr>
          <w:color w:val="auto"/>
        </w:rPr>
        <w:t>food brought from home or used for celebrations, rewards or fundraising</w:t>
      </w:r>
    </w:p>
    <w:p w:rsidR="00BC43CB" w:rsidP="37D35C3F" w:rsidRDefault="00BC43CB" w14:paraId="0AF48F75" w14:textId="6E9DE897">
      <w:pPr>
        <w:pStyle w:val="ListParagraph"/>
        <w:numPr>
          <w:ilvl w:val="0"/>
          <w:numId w:val="13"/>
        </w:numPr>
        <w:rPr>
          <w:color w:val="auto"/>
        </w:rPr>
      </w:pPr>
      <w:r w:rsidRPr="37D35C3F" w:rsidR="00BC43CB">
        <w:rPr>
          <w:color w:val="auto"/>
        </w:rPr>
        <w:t>prescribed medication, prescribed AAIs and spare AAI access</w:t>
      </w:r>
    </w:p>
    <w:p w:rsidR="00BC43CB" w:rsidP="37D35C3F" w:rsidRDefault="00BC43CB" w14:paraId="63302C81" w14:textId="2FDB4DF2">
      <w:pPr>
        <w:pStyle w:val="ListParagraph"/>
        <w:numPr>
          <w:ilvl w:val="0"/>
          <w:numId w:val="13"/>
        </w:numPr>
        <w:rPr>
          <w:color w:val="auto"/>
        </w:rPr>
      </w:pPr>
      <w:r w:rsidRPr="37D35C3F" w:rsidR="00BC43CB">
        <w:rPr>
          <w:color w:val="auto"/>
        </w:rPr>
        <w:t>communication with relevant staff</w:t>
      </w:r>
    </w:p>
    <w:p w:rsidR="00BC43CB" w:rsidP="37D35C3F" w:rsidRDefault="00BC43CB" w14:paraId="4A28491F" w14:textId="57C88405">
      <w:pPr>
        <w:pStyle w:val="ListParagraph"/>
        <w:numPr>
          <w:ilvl w:val="0"/>
          <w:numId w:val="13"/>
        </w:numPr>
        <w:rPr>
          <w:color w:val="auto"/>
        </w:rPr>
      </w:pPr>
      <w:r w:rsidRPr="37D35C3F" w:rsidR="00BC43CB">
        <w:rPr>
          <w:color w:val="auto"/>
        </w:rPr>
        <w:t>reasonable adjustments, inclusion and wellbeing</w:t>
      </w:r>
    </w:p>
    <w:p w:rsidR="00BC43CB" w:rsidP="37D35C3F" w:rsidRDefault="00BC43CB" w14:paraId="068A188F" w14:textId="715912EC">
      <w:pPr>
        <w:pStyle w:val="ListParagraph"/>
        <w:numPr>
          <w:ilvl w:val="0"/>
          <w:numId w:val="13"/>
        </w:numPr>
        <w:rPr>
          <w:color w:val="auto"/>
        </w:rPr>
      </w:pPr>
      <w:r w:rsidRPr="37D35C3F" w:rsidR="00BC43CB">
        <w:rPr>
          <w:color w:val="auto"/>
        </w:rPr>
        <w:t>emergency response arrangements.</w:t>
      </w:r>
    </w:p>
    <w:p w:rsidR="00BC43CB" w:rsidP="37D35C3F" w:rsidRDefault="00BC43CB" w14:paraId="034DC76A" w14:textId="07B5E371">
      <w:pPr>
        <w:rPr>
          <w:color w:val="auto"/>
        </w:rPr>
      </w:pPr>
      <w:r w:rsidRPr="37D35C3F" w:rsidR="00BC43CB">
        <w:rPr>
          <w:color w:val="auto"/>
        </w:rPr>
        <w:t>The assessment will be reviewed at least annually, or sooner following a serious allergic reaction, significant near miss, change in allergy, medication, healthcare advice, school arrangements or planned activity.</w:t>
      </w:r>
    </w:p>
    <w:p w:rsidRPr="00775D4E" w:rsidR="00AB66DB" w:rsidP="37D35C3F" w:rsidRDefault="006A576E" w14:paraId="65AF7E8C" w14:textId="2C1717B3">
      <w:pPr>
        <w:pStyle w:val="Heading1"/>
        <w:spacing w:before="240" w:line="360" w:lineRule="auto"/>
        <w:rPr>
          <w:color w:val="auto"/>
        </w:rPr>
      </w:pPr>
      <w:r w:rsidRPr="37D35C3F" w:rsidR="006A576E">
        <w:rPr>
          <w:rFonts w:ascii="Arial" w:hAnsi="Arial" w:eastAsia="Arial"/>
          <w:color w:val="auto"/>
        </w:rPr>
        <w:t>9</w:t>
      </w:r>
      <w:r w:rsidRPr="37D35C3F" w:rsidR="00D03085">
        <w:rPr>
          <w:rFonts w:ascii="Arial" w:hAnsi="Arial" w:eastAsia="Arial"/>
          <w:color w:val="auto"/>
        </w:rPr>
        <w:t>. Emergency response to allergic reaction and anaphylaxis</w:t>
      </w:r>
    </w:p>
    <w:p w:rsidR="00A15FC9" w:rsidP="37D35C3F" w:rsidRDefault="00A15FC9" w14:paraId="0531E936" w14:textId="77777777">
      <w:pPr>
        <w:rPr>
          <w:color w:val="auto"/>
        </w:rPr>
      </w:pPr>
      <w:r w:rsidRPr="37D35C3F" w:rsidR="00A15FC9">
        <w:rPr>
          <w:color w:val="auto"/>
        </w:rPr>
        <w:t>Symptoms of an allergic reaction may develop quickly. Mild to moderate symptoms may include itching, hives, rash, swelling of lips, face or eyes, tingling mouth, stomach pain or vomiting. More serious symptoms may include airway, breathing or circulation symptoms.</w:t>
      </w:r>
    </w:p>
    <w:p w:rsidR="00A15FC9" w:rsidP="37D35C3F" w:rsidRDefault="00A15FC9" w14:paraId="4A3D4E2D" w14:textId="77777777">
      <w:pPr>
        <w:rPr>
          <w:color w:val="auto"/>
        </w:rPr>
      </w:pPr>
      <w:r w:rsidRPr="37D35C3F" w:rsidR="00A15FC9">
        <w:rPr>
          <w:color w:val="auto"/>
        </w:rPr>
        <w:t xml:space="preserve">Staff will stay with the </w:t>
      </w:r>
      <w:r w:rsidRPr="37D35C3F" w:rsidR="00A15FC9">
        <w:rPr>
          <w:color w:val="auto"/>
        </w:rPr>
        <w:t>pupil</w:t>
      </w:r>
      <w:r w:rsidRPr="37D35C3F" w:rsidR="00A15FC9">
        <w:rPr>
          <w:color w:val="auto"/>
        </w:rPr>
        <w:t xml:space="preserve">, call for help and follow the </w:t>
      </w:r>
      <w:r w:rsidRPr="37D35C3F" w:rsidR="00A15FC9">
        <w:rPr>
          <w:color w:val="auto"/>
        </w:rPr>
        <w:t>pupil’s</w:t>
      </w:r>
      <w:r w:rsidRPr="37D35C3F" w:rsidR="00A15FC9">
        <w:rPr>
          <w:color w:val="auto"/>
        </w:rPr>
        <w:t xml:space="preserve"> Allergy Action Plan where available. The pupil must not be left alone or sent to another area of the school to seek help.</w:t>
      </w:r>
    </w:p>
    <w:p w:rsidR="00A15FC9" w:rsidP="37D35C3F" w:rsidRDefault="00A15FC9" w14:paraId="1AEA3D0C" w14:textId="77777777">
      <w:pPr>
        <w:rPr>
          <w:color w:val="auto"/>
        </w:rPr>
      </w:pPr>
      <w:r w:rsidRPr="37D35C3F" w:rsidR="00A15FC9">
        <w:rPr>
          <w:color w:val="auto"/>
        </w:rPr>
        <w:t>For mild to moderate allergic reactions, staff will follow the pupil’s Allergy Action Plan, monitor the pupil closely and contact parents/carers. If symptoms worsen, or there is any doubt about the severity of the reaction, staff will treat this as suspected anaphylaxis and act immediately.</w:t>
      </w:r>
    </w:p>
    <w:p w:rsidR="00A15FC9" w:rsidP="37D35C3F" w:rsidRDefault="00A15FC9" w14:paraId="2E235E8A" w14:textId="77777777">
      <w:pPr>
        <w:rPr>
          <w:color w:val="auto"/>
        </w:rPr>
      </w:pPr>
      <w:r w:rsidRPr="37D35C3F" w:rsidR="00A15FC9">
        <w:rPr>
          <w:color w:val="auto"/>
        </w:rPr>
        <w:t>Anaphylaxis should be suspected where there are symptoms affecting the airway, breathing or circulation, or where there is rapid deterioration following exposure to a known or suspected allergen.</w:t>
      </w:r>
    </w:p>
    <w:p w:rsidR="00A15FC9" w:rsidP="37D35C3F" w:rsidRDefault="00A15FC9" w14:paraId="66EE6E23" w14:textId="77777777">
      <w:pPr>
        <w:rPr>
          <w:color w:val="auto"/>
        </w:rPr>
      </w:pPr>
      <w:r w:rsidRPr="37D35C3F" w:rsidR="00A15FC9">
        <w:rPr>
          <w:color w:val="auto"/>
        </w:rPr>
        <w:t xml:space="preserve">Staff should </w:t>
      </w:r>
      <w:r w:rsidRPr="37D35C3F" w:rsidR="00A15FC9">
        <w:rPr>
          <w:color w:val="auto"/>
        </w:rPr>
        <w:t>recognise</w:t>
      </w:r>
      <w:r w:rsidRPr="37D35C3F" w:rsidR="00A15FC9">
        <w:rPr>
          <w:color w:val="auto"/>
        </w:rPr>
        <w:t xml:space="preserve"> that severe allergic reactions and anaphylaxis may occur in individuals with no previous diagnosis of allergy. A rapid response will be initiated whenever symptoms suggest anaphylaxis, regardless of whether a known allergy has been identified.</w:t>
      </w:r>
    </w:p>
    <w:p w:rsidR="007D7BD8" w:rsidP="37D35C3F" w:rsidRDefault="00A15FC9" w14:paraId="6DA15EC7" w14:textId="59AA3375">
      <w:pPr>
        <w:rPr>
          <w:color w:val="auto"/>
        </w:rPr>
      </w:pPr>
      <w:r w:rsidRPr="37D35C3F" w:rsidR="00A15FC9">
        <w:rPr>
          <w:color w:val="auto"/>
        </w:rPr>
        <w:t>Staff will be aware that asthma and allergy can co-exist. Where a pupil with a known food allergy develops sudden breathing difficulty, anaphylaxis must be considered and adrenaline should not be delayed where anaphylaxis is suspected. A reliever inhaler must not be used instead of adrenaline to treat suspected anaphylaxis.</w:t>
      </w:r>
    </w:p>
    <w:p w:rsidR="007D7BD8" w:rsidP="37D35C3F" w:rsidRDefault="007D7BD8" w14:paraId="7184F2C8" w14:textId="77777777">
      <w:pPr>
        <w:rPr>
          <w:color w:val="auto"/>
        </w:rPr>
      </w:pPr>
      <w:r w:rsidRPr="37D35C3F">
        <w:rPr>
          <w:color w:val="auto"/>
        </w:rPr>
        <w:br w:type="page"/>
      </w:r>
    </w:p>
    <w:p w:rsidRPr="00A76236" w:rsidR="00A76236" w:rsidP="37D35C3F" w:rsidRDefault="00A76236" w14:paraId="67AC488E" w14:textId="77777777">
      <w:pPr>
        <w:rPr>
          <w:b w:val="1"/>
          <w:bCs w:val="1"/>
          <w:color w:val="auto"/>
        </w:rPr>
      </w:pPr>
      <w:r w:rsidRPr="37D35C3F" w:rsidR="00A76236">
        <w:rPr>
          <w:b w:val="1"/>
          <w:bCs w:val="1"/>
          <w:color w:val="auto"/>
        </w:rPr>
        <w:t>If anaphylaxis is suspected, staff must act immediately:</w:t>
      </w:r>
    </w:p>
    <w:tbl>
      <w:tblPr>
        <w:tblStyle w:val="TableGrid"/>
        <w:tblW w:w="0" w:type="auto"/>
        <w:tblInd w:w="13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825"/>
      </w:tblGrid>
      <w:tr w:rsidRPr="00011215" w:rsidR="00011215" w:rsidTr="37D35C3F" w14:paraId="647D5F8C" w14:textId="77777777">
        <w:trPr>
          <w:trHeight w:val="517"/>
        </w:trPr>
        <w:tc>
          <w:tcPr>
            <w:tcW w:w="9825" w:type="dxa"/>
            <w:tcMar/>
            <w:vAlign w:val="center"/>
          </w:tcPr>
          <w:p w:rsidRPr="00C25C10" w:rsidR="00011215" w:rsidP="37D35C3F" w:rsidRDefault="00011215" w14:paraId="17F671ED" w14:textId="77777777">
            <w:pPr>
              <w:pStyle w:val="ListParagraph"/>
              <w:numPr>
                <w:ilvl w:val="0"/>
                <w:numId w:val="14"/>
              </w:numPr>
              <w:ind w:left="714" w:hanging="357"/>
              <w:rPr>
                <w:b w:val="1"/>
                <w:bCs w:val="1"/>
                <w:i w:val="1"/>
                <w:iCs w:val="1"/>
                <w:color w:val="auto" w:themeColor="text1"/>
              </w:rPr>
            </w:pPr>
            <w:r w:rsidRPr="37D35C3F" w:rsidR="18C6ED11">
              <w:rPr>
                <w:b w:val="1"/>
                <w:bCs w:val="1"/>
                <w:color w:val="auto"/>
              </w:rPr>
              <w:t>keep</w:t>
            </w:r>
            <w:r w:rsidRPr="37D35C3F" w:rsidR="18C6ED11">
              <w:rPr>
                <w:b w:val="1"/>
                <w:bCs w:val="1"/>
                <w:color w:val="auto"/>
              </w:rPr>
              <w:t xml:space="preserve"> the pupil where they are and call for help. </w:t>
            </w:r>
            <w:r w:rsidRPr="37D35C3F" w:rsidR="18C6ED11">
              <w:rPr>
                <w:b w:val="1"/>
                <w:bCs w:val="1"/>
                <w:i w:val="1"/>
                <w:iCs w:val="1"/>
                <w:color w:val="auto"/>
              </w:rPr>
              <w:t>Do not leave the pupil unattended</w:t>
            </w:r>
          </w:p>
        </w:tc>
      </w:tr>
      <w:tr w:rsidRPr="00011215" w:rsidR="00011215" w:rsidTr="37D35C3F" w14:paraId="5381D3EE" w14:textId="77777777">
        <w:trPr>
          <w:trHeight w:val="553"/>
        </w:trPr>
        <w:tc>
          <w:tcPr>
            <w:tcW w:w="9825" w:type="dxa"/>
            <w:tcMar/>
            <w:vAlign w:val="center"/>
          </w:tcPr>
          <w:p w:rsidRPr="00C25C10" w:rsidR="00011215" w:rsidP="37D35C3F" w:rsidRDefault="00011215" w14:paraId="38C75E85" w14:textId="77777777">
            <w:pPr>
              <w:pStyle w:val="ListParagraph"/>
              <w:numPr>
                <w:ilvl w:val="0"/>
                <w:numId w:val="14"/>
              </w:numPr>
              <w:ind w:left="714" w:hanging="357"/>
              <w:rPr>
                <w:b w:val="1"/>
                <w:bCs w:val="1"/>
                <w:color w:val="auto" w:themeColor="text1"/>
              </w:rPr>
            </w:pPr>
            <w:r w:rsidRPr="37D35C3F" w:rsidR="18C6ED11">
              <w:rPr>
                <w:b w:val="1"/>
                <w:bCs w:val="1"/>
                <w:color w:val="auto"/>
              </w:rPr>
              <w:t>lay the pupil flat with legs raised</w:t>
            </w:r>
          </w:p>
        </w:tc>
      </w:tr>
      <w:tr w:rsidRPr="00011215" w:rsidR="00011215" w:rsidTr="37D35C3F" w14:paraId="073F4C8D" w14:textId="77777777">
        <w:tc>
          <w:tcPr>
            <w:tcW w:w="9825" w:type="dxa"/>
            <w:tcMar/>
            <w:vAlign w:val="center"/>
          </w:tcPr>
          <w:p w:rsidRPr="00C25C10" w:rsidR="00011215" w:rsidP="37D35C3F" w:rsidRDefault="00011215" w14:paraId="36AC3378" w14:textId="77777777">
            <w:pPr>
              <w:pStyle w:val="ListParagraph"/>
              <w:numPr>
                <w:ilvl w:val="0"/>
                <w:numId w:val="14"/>
              </w:numPr>
              <w:ind w:left="714" w:hanging="357"/>
              <w:rPr>
                <w:b w:val="1"/>
                <w:bCs w:val="1"/>
                <w:i w:val="1"/>
                <w:iCs w:val="1"/>
                <w:color w:val="auto" w:themeColor="text1"/>
              </w:rPr>
            </w:pPr>
            <w:r w:rsidRPr="37D35C3F" w:rsidR="18C6ED11">
              <w:rPr>
                <w:b w:val="1"/>
                <w:bCs w:val="1"/>
                <w:color w:val="auto"/>
              </w:rPr>
              <w:t>if</w:t>
            </w:r>
            <w:r w:rsidRPr="37D35C3F" w:rsidR="18C6ED11">
              <w:rPr>
                <w:b w:val="1"/>
                <w:bCs w:val="1"/>
                <w:color w:val="auto"/>
              </w:rPr>
              <w:t xml:space="preserve"> breathing is difficult, the pupil may be propped up for as short a time as possible. </w:t>
            </w:r>
            <w:r w:rsidRPr="37D35C3F" w:rsidR="18C6ED11">
              <w:rPr>
                <w:b w:val="1"/>
                <w:bCs w:val="1"/>
                <w:i w:val="1"/>
                <w:iCs w:val="1"/>
                <w:color w:val="auto"/>
              </w:rPr>
              <w:t xml:space="preserve">Do not allow the </w:t>
            </w:r>
            <w:r w:rsidRPr="37D35C3F" w:rsidR="18C6ED11">
              <w:rPr>
                <w:b w:val="1"/>
                <w:bCs w:val="1"/>
                <w:i w:val="1"/>
                <w:iCs w:val="1"/>
                <w:color w:val="auto"/>
              </w:rPr>
              <w:t>pupil</w:t>
            </w:r>
            <w:r w:rsidRPr="37D35C3F" w:rsidR="18C6ED11">
              <w:rPr>
                <w:b w:val="1"/>
                <w:bCs w:val="1"/>
                <w:i w:val="1"/>
                <w:iCs w:val="1"/>
                <w:color w:val="auto"/>
              </w:rPr>
              <w:t xml:space="preserve"> to stand or walk</w:t>
            </w:r>
          </w:p>
        </w:tc>
      </w:tr>
      <w:tr w:rsidRPr="00011215" w:rsidR="00011215" w:rsidTr="37D35C3F" w14:paraId="1D536235" w14:textId="77777777">
        <w:trPr>
          <w:trHeight w:val="711"/>
        </w:trPr>
        <w:tc>
          <w:tcPr>
            <w:tcW w:w="9825" w:type="dxa"/>
            <w:tcMar/>
            <w:vAlign w:val="center"/>
          </w:tcPr>
          <w:p w:rsidRPr="00C25C10" w:rsidR="00011215" w:rsidP="37D35C3F" w:rsidRDefault="00011215" w14:paraId="22687B6A" w14:textId="77777777">
            <w:pPr>
              <w:pStyle w:val="ListParagraph"/>
              <w:numPr>
                <w:ilvl w:val="0"/>
                <w:numId w:val="14"/>
              </w:numPr>
              <w:ind w:left="714" w:hanging="357"/>
              <w:rPr>
                <w:b w:val="1"/>
                <w:bCs w:val="1"/>
                <w:color w:val="auto" w:themeColor="text1"/>
              </w:rPr>
            </w:pPr>
            <w:r w:rsidRPr="37D35C3F" w:rsidR="18C6ED11">
              <w:rPr>
                <w:b w:val="1"/>
                <w:bCs w:val="1"/>
                <w:color w:val="auto"/>
              </w:rPr>
              <w:t xml:space="preserve">summon trained staff immediately where available, </w:t>
            </w:r>
            <w:r w:rsidRPr="37D35C3F" w:rsidR="18C6ED11">
              <w:rPr>
                <w:b w:val="1"/>
                <w:bCs w:val="1"/>
                <w:i w:val="1"/>
                <w:iCs w:val="1"/>
                <w:color w:val="auto"/>
              </w:rPr>
              <w:t>but do not delay emergency treatment where anaphylaxis is suspected</w:t>
            </w:r>
          </w:p>
        </w:tc>
      </w:tr>
      <w:tr w:rsidRPr="00011215" w:rsidR="00011215" w:rsidTr="37D35C3F" w14:paraId="396D1418" w14:textId="77777777">
        <w:trPr>
          <w:trHeight w:val="1557"/>
        </w:trPr>
        <w:tc>
          <w:tcPr>
            <w:tcW w:w="9825" w:type="dxa"/>
            <w:tcMar/>
            <w:vAlign w:val="center"/>
          </w:tcPr>
          <w:p w:rsidRPr="00C25C10" w:rsidR="00011215" w:rsidP="37D35C3F" w:rsidRDefault="00011215" w14:paraId="22EB56C9" w14:textId="77777777">
            <w:pPr>
              <w:pStyle w:val="ListParagraph"/>
              <w:numPr>
                <w:ilvl w:val="0"/>
                <w:numId w:val="14"/>
              </w:numPr>
              <w:ind w:left="714" w:hanging="357"/>
              <w:rPr>
                <w:b w:val="1"/>
                <w:bCs w:val="1"/>
                <w:color w:val="auto" w:themeColor="text1"/>
              </w:rPr>
            </w:pPr>
            <w:r w:rsidRPr="37D35C3F" w:rsidR="18C6ED11">
              <w:rPr>
                <w:b w:val="1"/>
                <w:bCs w:val="1"/>
                <w:color w:val="auto"/>
              </w:rPr>
              <w:t>a trained</w:t>
            </w:r>
            <w:r w:rsidRPr="37D35C3F" w:rsidR="18C6ED11">
              <w:rPr>
                <w:b w:val="1"/>
                <w:bCs w:val="1"/>
                <w:color w:val="auto"/>
              </w:rPr>
              <w:t xml:space="preserve"> and willing member of staff, or a member of staff whose role includes this responsibility, should administer the pupil’s prescribed adrenaline device or a permitted AAI without delay, following the instructions on the device and the pupil’s Allergy Action Plan where available. </w:t>
            </w:r>
            <w:r w:rsidRPr="37D35C3F" w:rsidR="18C6ED11">
              <w:rPr>
                <w:b w:val="1"/>
                <w:bCs w:val="1"/>
                <w:i w:val="1"/>
                <w:iCs w:val="1"/>
                <w:color w:val="auto"/>
              </w:rPr>
              <w:t>Emergency action must not be delayed while waiting for a specific person if this would place the pupil at greater risk</w:t>
            </w:r>
          </w:p>
        </w:tc>
      </w:tr>
      <w:tr w:rsidRPr="00011215" w:rsidR="00011215" w:rsidTr="37D35C3F" w14:paraId="68991E57" w14:textId="77777777">
        <w:trPr>
          <w:trHeight w:val="559"/>
        </w:trPr>
        <w:tc>
          <w:tcPr>
            <w:tcW w:w="9825" w:type="dxa"/>
            <w:tcMar/>
            <w:vAlign w:val="center"/>
          </w:tcPr>
          <w:p w:rsidRPr="00C25C10" w:rsidR="00011215" w:rsidP="37D35C3F" w:rsidRDefault="00011215" w14:paraId="28A8A39A" w14:textId="77777777">
            <w:pPr>
              <w:pStyle w:val="ListParagraph"/>
              <w:numPr>
                <w:ilvl w:val="0"/>
                <w:numId w:val="14"/>
              </w:numPr>
              <w:ind w:left="714" w:hanging="357"/>
              <w:rPr>
                <w:b w:val="1"/>
                <w:bCs w:val="1"/>
                <w:color w:val="auto" w:themeColor="text1"/>
              </w:rPr>
            </w:pPr>
            <w:r w:rsidRPr="37D35C3F" w:rsidR="18C6ED11">
              <w:rPr>
                <w:b w:val="1"/>
                <w:bCs w:val="1"/>
                <w:color w:val="auto"/>
              </w:rPr>
              <w:t>call 999 immediately and state “anaphylaxis”</w:t>
            </w:r>
          </w:p>
        </w:tc>
      </w:tr>
      <w:tr w:rsidRPr="00011215" w:rsidR="00011215" w:rsidTr="37D35C3F" w14:paraId="598A4118" w14:textId="77777777">
        <w:trPr>
          <w:trHeight w:val="539"/>
        </w:trPr>
        <w:tc>
          <w:tcPr>
            <w:tcW w:w="9825" w:type="dxa"/>
            <w:tcMar/>
            <w:vAlign w:val="center"/>
          </w:tcPr>
          <w:p w:rsidRPr="00C25C10" w:rsidR="00011215" w:rsidP="37D35C3F" w:rsidRDefault="00011215" w14:paraId="552DCFD0" w14:textId="77777777">
            <w:pPr>
              <w:pStyle w:val="ListParagraph"/>
              <w:numPr>
                <w:ilvl w:val="0"/>
                <w:numId w:val="14"/>
              </w:numPr>
              <w:ind w:left="714" w:hanging="357"/>
              <w:rPr>
                <w:b w:val="1"/>
                <w:bCs w:val="1"/>
                <w:color w:val="auto" w:themeColor="text1"/>
              </w:rPr>
            </w:pPr>
            <w:r w:rsidRPr="37D35C3F" w:rsidR="18C6ED11">
              <w:rPr>
                <w:b w:val="1"/>
                <w:bCs w:val="1"/>
                <w:color w:val="auto"/>
              </w:rPr>
              <w:t>note the time adrenaline was administered</w:t>
            </w:r>
          </w:p>
        </w:tc>
      </w:tr>
      <w:tr w:rsidRPr="00011215" w:rsidR="00011215" w:rsidTr="37D35C3F" w14:paraId="3EBFDC10" w14:textId="77777777">
        <w:trPr>
          <w:trHeight w:val="703"/>
        </w:trPr>
        <w:tc>
          <w:tcPr>
            <w:tcW w:w="9825" w:type="dxa"/>
            <w:tcMar/>
            <w:vAlign w:val="center"/>
          </w:tcPr>
          <w:p w:rsidRPr="00C25C10" w:rsidR="00011215" w:rsidP="37D35C3F" w:rsidRDefault="00011215" w14:paraId="27F00A17" w14:textId="77777777">
            <w:pPr>
              <w:pStyle w:val="ListParagraph"/>
              <w:numPr>
                <w:ilvl w:val="0"/>
                <w:numId w:val="14"/>
              </w:numPr>
              <w:ind w:left="714" w:hanging="357"/>
              <w:rPr>
                <w:b w:val="1"/>
                <w:bCs w:val="1"/>
                <w:color w:val="auto" w:themeColor="text1"/>
              </w:rPr>
            </w:pPr>
            <w:r w:rsidRPr="37D35C3F" w:rsidR="18C6ED11">
              <w:rPr>
                <w:b w:val="1"/>
                <w:bCs w:val="1"/>
                <w:color w:val="auto"/>
              </w:rPr>
              <w:t>if</w:t>
            </w:r>
            <w:r w:rsidRPr="37D35C3F" w:rsidR="18C6ED11">
              <w:rPr>
                <w:b w:val="1"/>
                <w:bCs w:val="1"/>
                <w:color w:val="auto"/>
              </w:rPr>
              <w:t xml:space="preserve"> there is no improvement after 5 minutes, administer a second adrenaline device or AAI if available</w:t>
            </w:r>
          </w:p>
        </w:tc>
      </w:tr>
      <w:tr w:rsidRPr="00011215" w:rsidR="00011215" w:rsidTr="37D35C3F" w14:paraId="401F6297" w14:textId="77777777">
        <w:trPr>
          <w:trHeight w:val="557"/>
        </w:trPr>
        <w:tc>
          <w:tcPr>
            <w:tcW w:w="9825" w:type="dxa"/>
            <w:tcMar/>
            <w:vAlign w:val="center"/>
          </w:tcPr>
          <w:p w:rsidRPr="00C25C10" w:rsidR="00011215" w:rsidP="37D35C3F" w:rsidRDefault="00011215" w14:paraId="616A2522" w14:textId="77777777">
            <w:pPr>
              <w:pStyle w:val="ListParagraph"/>
              <w:numPr>
                <w:ilvl w:val="0"/>
                <w:numId w:val="14"/>
              </w:numPr>
              <w:ind w:left="714" w:hanging="357"/>
              <w:rPr>
                <w:b w:val="1"/>
                <w:bCs w:val="1"/>
                <w:color w:val="auto" w:themeColor="text1"/>
              </w:rPr>
            </w:pPr>
            <w:r w:rsidRPr="37D35C3F" w:rsidR="18C6ED11">
              <w:rPr>
                <w:b w:val="1"/>
                <w:bCs w:val="1"/>
                <w:color w:val="auto"/>
              </w:rPr>
              <w:t>if there are no signs of life, begin CPR and continue until emergency help arrives</w:t>
            </w:r>
          </w:p>
        </w:tc>
      </w:tr>
      <w:tr w:rsidRPr="00011215" w:rsidR="00011215" w:rsidTr="37D35C3F" w14:paraId="5F104C38" w14:textId="77777777">
        <w:trPr>
          <w:trHeight w:val="565"/>
        </w:trPr>
        <w:tc>
          <w:tcPr>
            <w:tcW w:w="9825" w:type="dxa"/>
            <w:tcMar/>
            <w:vAlign w:val="center"/>
          </w:tcPr>
          <w:p w:rsidRPr="00C25C10" w:rsidR="00011215" w:rsidP="37D35C3F" w:rsidRDefault="00011215" w14:paraId="0F162183" w14:textId="77777777">
            <w:pPr>
              <w:pStyle w:val="ListParagraph"/>
              <w:numPr>
                <w:ilvl w:val="0"/>
                <w:numId w:val="14"/>
              </w:numPr>
              <w:ind w:left="714" w:hanging="357"/>
              <w:rPr>
                <w:b w:val="1"/>
                <w:bCs w:val="1"/>
                <w:color w:val="auto" w:themeColor="text1"/>
              </w:rPr>
            </w:pPr>
            <w:r w:rsidRPr="37D35C3F" w:rsidR="18C6ED11">
              <w:rPr>
                <w:b w:val="1"/>
                <w:bCs w:val="1"/>
                <w:color w:val="auto"/>
              </w:rPr>
              <w:t>contact parents/carers as soon as possible once emergency action has been taken</w:t>
            </w:r>
          </w:p>
        </w:tc>
      </w:tr>
      <w:tr w:rsidRPr="00011215" w:rsidR="00011215" w:rsidTr="37D35C3F" w14:paraId="7C7645BF" w14:textId="77777777">
        <w:trPr>
          <w:trHeight w:val="687"/>
        </w:trPr>
        <w:tc>
          <w:tcPr>
            <w:tcW w:w="9825" w:type="dxa"/>
            <w:tcMar/>
            <w:vAlign w:val="center"/>
          </w:tcPr>
          <w:p w:rsidRPr="00C25C10" w:rsidR="00011215" w:rsidP="37D35C3F" w:rsidRDefault="00011215" w14:paraId="0F48F1F0" w14:textId="77777777">
            <w:pPr>
              <w:pStyle w:val="ListParagraph"/>
              <w:numPr>
                <w:ilvl w:val="0"/>
                <w:numId w:val="14"/>
              </w:numPr>
              <w:ind w:left="714" w:hanging="357"/>
              <w:rPr>
                <w:b w:val="1"/>
                <w:bCs w:val="1"/>
                <w:color w:val="auto" w:themeColor="text1"/>
              </w:rPr>
            </w:pPr>
            <w:r w:rsidRPr="37D35C3F" w:rsidR="18C6ED11">
              <w:rPr>
                <w:b w:val="1"/>
                <w:bCs w:val="1"/>
                <w:color w:val="auto"/>
              </w:rPr>
              <w:t>ensure the pupil attends hospital for observation, even if they appear to have recovered</w:t>
            </w:r>
          </w:p>
        </w:tc>
      </w:tr>
      <w:tr w:rsidRPr="00011215" w:rsidR="00011215" w:rsidTr="37D35C3F" w14:paraId="2B4A86F2" w14:textId="77777777">
        <w:tc>
          <w:tcPr>
            <w:tcW w:w="9825" w:type="dxa"/>
            <w:tcMar/>
            <w:vAlign w:val="center"/>
          </w:tcPr>
          <w:p w:rsidRPr="00C25C10" w:rsidR="00011215" w:rsidP="37D35C3F" w:rsidRDefault="00011215" w14:paraId="605EAE1D" w14:textId="77777777">
            <w:pPr>
              <w:pStyle w:val="ListParagraph"/>
              <w:numPr>
                <w:ilvl w:val="0"/>
                <w:numId w:val="14"/>
              </w:numPr>
              <w:ind w:left="714" w:hanging="357"/>
              <w:rPr>
                <w:b w:val="1"/>
                <w:bCs w:val="1"/>
                <w:color w:val="auto" w:themeColor="text1"/>
              </w:rPr>
            </w:pPr>
            <w:r w:rsidRPr="37D35C3F" w:rsidR="18C6ED11">
              <w:rPr>
                <w:b w:val="1"/>
                <w:bCs w:val="1"/>
                <w:color w:val="auto"/>
              </w:rPr>
              <w:t>record the incident and complete the school’s allergic reaction or near miss review process.</w:t>
            </w:r>
          </w:p>
        </w:tc>
      </w:tr>
    </w:tbl>
    <w:p w:rsidRPr="00775D4E" w:rsidR="00AB66DB" w:rsidP="37D35C3F" w:rsidRDefault="00D03085" w14:paraId="4E8C2E53" w14:textId="2B255066">
      <w:pPr>
        <w:pStyle w:val="Heading1"/>
        <w:spacing w:before="240" w:line="360" w:lineRule="auto"/>
        <w:rPr>
          <w:color w:val="auto"/>
        </w:rPr>
      </w:pPr>
      <w:r w:rsidRPr="37D35C3F" w:rsidR="00D03085">
        <w:rPr>
          <w:rFonts w:ascii="Arial" w:hAnsi="Arial" w:eastAsia="Arial"/>
          <w:color w:val="auto"/>
        </w:rPr>
        <w:t>1</w:t>
      </w:r>
      <w:r w:rsidRPr="37D35C3F" w:rsidR="006A576E">
        <w:rPr>
          <w:rFonts w:ascii="Arial" w:hAnsi="Arial" w:eastAsia="Arial"/>
          <w:color w:val="auto"/>
        </w:rPr>
        <w:t>0</w:t>
      </w:r>
      <w:r w:rsidRPr="37D35C3F" w:rsidR="00D03085">
        <w:rPr>
          <w:rFonts w:ascii="Arial" w:hAnsi="Arial" w:eastAsia="Arial"/>
          <w:color w:val="auto"/>
        </w:rPr>
        <w:t xml:space="preserve">. Supply, storage and care </w:t>
      </w:r>
      <w:r w:rsidRPr="37D35C3F" w:rsidR="00D03085">
        <w:rPr>
          <w:rFonts w:ascii="Arial" w:hAnsi="Arial" w:eastAsia="Arial"/>
          <w:color w:val="auto"/>
        </w:rPr>
        <w:t>of</w:t>
      </w:r>
      <w:r w:rsidRPr="37D35C3F" w:rsidR="00D03085">
        <w:rPr>
          <w:rFonts w:ascii="Arial" w:hAnsi="Arial" w:eastAsia="Arial"/>
          <w:color w:val="auto"/>
        </w:rPr>
        <w:t xml:space="preserve"> medication</w:t>
      </w:r>
    </w:p>
    <w:p w:rsidR="00FF7888" w:rsidP="37D35C3F" w:rsidRDefault="00FF7888" w14:paraId="40F8E7DE" w14:textId="77777777">
      <w:pPr>
        <w:rPr>
          <w:color w:val="auto"/>
        </w:rPr>
      </w:pPr>
      <w:r w:rsidRPr="37D35C3F" w:rsidR="00FF7888">
        <w:rPr>
          <w:color w:val="auto"/>
        </w:rPr>
        <w:t>Parents/carers are responsible for providing prescribed allergy medication that is in date, correctly labelled and in the correct dosage. Where a pupil is prescribed adrenaline auto-injectors or other prescribed adrenaline devices, parents/carers should provide two devices for school use unless otherwise agreed in the pupil’s plan.</w:t>
      </w:r>
    </w:p>
    <w:p w:rsidR="00FF7888" w:rsidP="37D35C3F" w:rsidRDefault="00FF7888" w14:paraId="7113802D" w14:textId="77777777">
      <w:pPr>
        <w:rPr>
          <w:color w:val="auto"/>
        </w:rPr>
      </w:pPr>
      <w:r w:rsidRPr="37D35C3F" w:rsidR="00FF7888">
        <w:rPr>
          <w:color w:val="auto"/>
        </w:rPr>
        <w:t>Depending on age, maturity and competence, pupils may carry their own prescribed allergy medication or adrenaline devices where this has been agreed with the school and parents/carers. Where self-carry has been agreed, the school will ensure relevant staff know what arrangements apply in an emergency.</w:t>
      </w:r>
    </w:p>
    <w:p w:rsidR="00FF7888" w:rsidP="37D35C3F" w:rsidRDefault="00FF7888" w14:paraId="0B93ECF2" w14:textId="77777777">
      <w:pPr>
        <w:rPr>
          <w:color w:val="auto"/>
        </w:rPr>
      </w:pPr>
      <w:r w:rsidRPr="37D35C3F" w:rsidR="00FF7888">
        <w:rPr>
          <w:color w:val="auto"/>
        </w:rPr>
        <w:t>Where a pupil does not carry their own emergency medication, the school will store it in a clearly labelled anaphylaxis kit or other agreed location that is accessible to staff, not locked away, and able to be brought to the pupil without delay.</w:t>
      </w:r>
    </w:p>
    <w:p w:rsidR="00A04602" w:rsidP="37D35C3F" w:rsidRDefault="00FF7888" w14:paraId="70943226" w14:textId="635F8EEC">
      <w:pPr>
        <w:rPr>
          <w:color w:val="auto"/>
        </w:rPr>
      </w:pPr>
      <w:r w:rsidRPr="37D35C3F" w:rsidR="00FF7888">
        <w:rPr>
          <w:color w:val="auto"/>
        </w:rPr>
        <w:t xml:space="preserve">The school will </w:t>
      </w:r>
      <w:r w:rsidRPr="37D35C3F" w:rsidR="00FF7888">
        <w:rPr>
          <w:color w:val="auto"/>
        </w:rPr>
        <w:t>make arrangements</w:t>
      </w:r>
      <w:r w:rsidRPr="37D35C3F" w:rsidR="00FF7888">
        <w:rPr>
          <w:color w:val="auto"/>
        </w:rPr>
        <w:t xml:space="preserve"> for prescribed adrenaline devices to be accessible during the school day and school-arranged activities, including lessons, breaktimes, lunchtimes, PE, visits, trips, playground activities and sports fields where relevant.</w:t>
      </w:r>
    </w:p>
    <w:p w:rsidR="00FF7888" w:rsidP="37D35C3F" w:rsidRDefault="00FF7888" w14:paraId="4C65E70B" w14:textId="77777777">
      <w:pPr>
        <w:rPr>
          <w:color w:val="auto"/>
        </w:rPr>
      </w:pPr>
      <w:r w:rsidRPr="37D35C3F" w:rsidR="00FF7888">
        <w:rPr>
          <w:color w:val="auto"/>
        </w:rPr>
        <w:t>An anaphylaxis kit should contain, where provided or required:</w:t>
      </w:r>
    </w:p>
    <w:p w:rsidR="00FF7888" w:rsidP="37D35C3F" w:rsidRDefault="00FF7888" w14:paraId="24A4FEC4" w14:textId="289B1E41">
      <w:pPr>
        <w:pStyle w:val="ListParagraph"/>
        <w:numPr>
          <w:ilvl w:val="0"/>
          <w:numId w:val="15"/>
        </w:numPr>
        <w:rPr>
          <w:color w:val="auto"/>
        </w:rPr>
      </w:pPr>
      <w:r w:rsidRPr="37D35C3F" w:rsidR="00FF7888">
        <w:rPr>
          <w:color w:val="auto"/>
        </w:rPr>
        <w:t>two AAIs or prescribed adrenaline devices where prescribed</w:t>
      </w:r>
    </w:p>
    <w:p w:rsidR="00FF7888" w:rsidP="37D35C3F" w:rsidRDefault="00FF7888" w14:paraId="68CE5A7A" w14:textId="33294CF9">
      <w:pPr>
        <w:pStyle w:val="ListParagraph"/>
        <w:numPr>
          <w:ilvl w:val="0"/>
          <w:numId w:val="15"/>
        </w:numPr>
        <w:rPr>
          <w:color w:val="auto"/>
        </w:rPr>
      </w:pPr>
      <w:r w:rsidRPr="37D35C3F" w:rsidR="00FF7888">
        <w:rPr>
          <w:color w:val="auto"/>
        </w:rPr>
        <w:t>the pupil’s up-to-date Allergy Action Plan</w:t>
      </w:r>
    </w:p>
    <w:p w:rsidR="00FF7888" w:rsidP="37D35C3F" w:rsidRDefault="00FF7888" w14:paraId="4F71D9C7" w14:textId="37A6D2E3">
      <w:pPr>
        <w:pStyle w:val="ListParagraph"/>
        <w:numPr>
          <w:ilvl w:val="0"/>
          <w:numId w:val="15"/>
        </w:numPr>
        <w:rPr>
          <w:color w:val="auto"/>
        </w:rPr>
      </w:pPr>
      <w:r w:rsidRPr="37D35C3F" w:rsidR="00FF7888">
        <w:rPr>
          <w:color w:val="auto"/>
        </w:rPr>
        <w:t>antihistamine if included on the plan</w:t>
      </w:r>
    </w:p>
    <w:p w:rsidR="00FF7888" w:rsidP="37D35C3F" w:rsidRDefault="00FF7888" w14:paraId="5DBC90DE" w14:textId="37878250">
      <w:pPr>
        <w:pStyle w:val="ListParagraph"/>
        <w:numPr>
          <w:ilvl w:val="0"/>
          <w:numId w:val="15"/>
        </w:numPr>
        <w:rPr>
          <w:color w:val="auto"/>
        </w:rPr>
      </w:pPr>
      <w:r w:rsidRPr="37D35C3F" w:rsidR="00FF7888">
        <w:rPr>
          <w:color w:val="auto"/>
        </w:rPr>
        <w:t xml:space="preserve">asthma inhaler </w:t>
      </w:r>
      <w:r w:rsidRPr="37D35C3F" w:rsidR="00FF7888">
        <w:rPr>
          <w:color w:val="auto"/>
        </w:rPr>
        <w:t>if</w:t>
      </w:r>
      <w:r w:rsidRPr="37D35C3F" w:rsidR="00FF7888">
        <w:rPr>
          <w:color w:val="auto"/>
        </w:rPr>
        <w:t xml:space="preserve"> included </w:t>
      </w:r>
      <w:r w:rsidRPr="37D35C3F" w:rsidR="00FF7888">
        <w:rPr>
          <w:color w:val="auto"/>
        </w:rPr>
        <w:t>on</w:t>
      </w:r>
      <w:r w:rsidRPr="37D35C3F" w:rsidR="00FF7888">
        <w:rPr>
          <w:color w:val="auto"/>
        </w:rPr>
        <w:t xml:space="preserve"> the plan</w:t>
      </w:r>
    </w:p>
    <w:p w:rsidR="00FF7888" w:rsidP="37D35C3F" w:rsidRDefault="00FF7888" w14:paraId="260E6BDE" w14:textId="7864B11C">
      <w:pPr>
        <w:pStyle w:val="ListParagraph"/>
        <w:numPr>
          <w:ilvl w:val="0"/>
          <w:numId w:val="15"/>
        </w:numPr>
        <w:rPr>
          <w:color w:val="auto"/>
        </w:rPr>
      </w:pPr>
      <w:r w:rsidRPr="37D35C3F" w:rsidR="00FF7888">
        <w:rPr>
          <w:color w:val="auto"/>
        </w:rPr>
        <w:t>any other items specified in the pupil’s plan.</w:t>
      </w:r>
    </w:p>
    <w:p w:rsidR="00FF7888" w:rsidP="37D35C3F" w:rsidRDefault="00FF7888" w14:paraId="2B5E1BD9" w14:textId="77777777">
      <w:pPr>
        <w:rPr>
          <w:b w:val="1"/>
          <w:bCs w:val="1"/>
          <w:color w:val="auto"/>
        </w:rPr>
      </w:pPr>
      <w:r w:rsidRPr="37D35C3F" w:rsidR="00FF7888">
        <w:rPr>
          <w:color w:val="auto"/>
        </w:rPr>
        <w:t xml:space="preserve">Prescribed adrenaline devices and spare AAIs will be stored in line with the manufacturer’s instructions, at room temperature, protected from direct sunlight and temperature extremes, and must not be refrigerated. </w:t>
      </w:r>
      <w:r w:rsidRPr="37D35C3F" w:rsidR="00FF7888">
        <w:rPr>
          <w:b w:val="1"/>
          <w:bCs w:val="1"/>
          <w:color w:val="auto"/>
        </w:rPr>
        <w:t>They must not be locked away or kept in a location where access is restricted.</w:t>
      </w:r>
    </w:p>
    <w:p w:rsidR="00FF7888" w:rsidP="37D35C3F" w:rsidRDefault="00FF7888" w14:paraId="5EB35BD5" w14:textId="77777777">
      <w:pPr>
        <w:rPr>
          <w:color w:val="auto"/>
        </w:rPr>
      </w:pPr>
      <w:r w:rsidRPr="37D35C3F" w:rsidR="00FF7888">
        <w:rPr>
          <w:color w:val="auto"/>
        </w:rPr>
        <w:t>The school will keep a record of pupils who have prescribed adrenaline devices and will check allergy medication regularly. Parents/carers remain responsible for replacing medication before it expires or after it has been used.</w:t>
      </w:r>
    </w:p>
    <w:p w:rsidR="00FF7888" w:rsidP="37D35C3F" w:rsidRDefault="00FF7888" w14:paraId="4795818C" w14:textId="4C1C1D0C">
      <w:pPr>
        <w:rPr>
          <w:color w:val="auto"/>
        </w:rPr>
      </w:pPr>
      <w:r w:rsidRPr="37D35C3F" w:rsidR="00FF7888">
        <w:rPr>
          <w:color w:val="auto"/>
        </w:rPr>
        <w:t>Used AAIs will be disposed of safely as sharps. They may be handed to ambulance staff or disposed of through an appropriate clinical waste route.</w:t>
      </w:r>
    </w:p>
    <w:p w:rsidRPr="00775D4E" w:rsidR="00AB66DB" w:rsidP="37D35C3F" w:rsidRDefault="00D03085" w14:paraId="2E52170C" w14:textId="36B7FE86">
      <w:pPr>
        <w:pStyle w:val="Heading1"/>
        <w:spacing w:before="240" w:line="360" w:lineRule="auto"/>
        <w:rPr>
          <w:color w:val="auto"/>
        </w:rPr>
      </w:pPr>
      <w:r w:rsidRPr="37D35C3F" w:rsidR="00D03085">
        <w:rPr>
          <w:rFonts w:ascii="Arial" w:hAnsi="Arial" w:eastAsia="Arial"/>
          <w:color w:val="auto"/>
        </w:rPr>
        <w:t>1</w:t>
      </w:r>
      <w:r w:rsidRPr="37D35C3F" w:rsidR="006A576E">
        <w:rPr>
          <w:rFonts w:ascii="Arial" w:hAnsi="Arial" w:eastAsia="Arial"/>
          <w:color w:val="auto"/>
        </w:rPr>
        <w:t>1</w:t>
      </w:r>
      <w:r w:rsidRPr="37D35C3F" w:rsidR="00D03085">
        <w:rPr>
          <w:rFonts w:ascii="Arial" w:hAnsi="Arial" w:eastAsia="Arial"/>
          <w:color w:val="auto"/>
        </w:rPr>
        <w:t>. Spare adrenaline auto-injectors</w:t>
      </w:r>
    </w:p>
    <w:p w:rsidRPr="004E2C71" w:rsidR="004E2C71" w:rsidP="37D35C3F" w:rsidRDefault="004E2C71" w14:paraId="000FEF8E" w14:textId="77777777">
      <w:pPr>
        <w:rPr>
          <w:color w:val="auto" w:themeColor="text1"/>
        </w:rPr>
      </w:pPr>
      <w:r w:rsidRPr="37D35C3F" w:rsidR="004E2C71">
        <w:rPr>
          <w:color w:val="auto"/>
          <w:highlight w:val="yellow"/>
        </w:rPr>
        <w:t>[Insert school name]</w:t>
      </w:r>
      <w:r w:rsidRPr="37D35C3F" w:rsidR="004E2C71">
        <w:rPr>
          <w:color w:val="auto"/>
        </w:rPr>
        <w:t xml:space="preserve"> </w:t>
      </w:r>
      <w:r w:rsidRPr="37D35C3F" w:rsidR="004E2C71">
        <w:rPr>
          <w:color w:val="auto"/>
        </w:rPr>
        <w:t>will hold spare adrenaline auto-injectors (AAIs) for emergency use in line with national guidance and this policy.</w:t>
      </w:r>
    </w:p>
    <w:p w:rsidR="00024CFA" w:rsidP="37D35C3F" w:rsidRDefault="00024CFA" w14:paraId="254C0286" w14:textId="77777777">
      <w:pPr>
        <w:rPr>
          <w:color w:val="auto" w:themeColor="text1"/>
        </w:rPr>
      </w:pPr>
      <w:r w:rsidRPr="37D35C3F" w:rsidR="00024CFA">
        <w:rPr>
          <w:color w:val="auto"/>
        </w:rPr>
        <w:t xml:space="preserve">Spare AAIs are intended for emergency use where anaphylaxis is suspected and a pupil’s own prescribed device is not available, is not working, is out of date, has misfired, or where emergency action is required for a person presenting with suspected anaphylaxis. This may include a person who has not previously been known to have an allergy, where anaphylaxis is suspected and use of the spare AAI is permitted by national guidance and the school’s emergency arrangements. Staff should follow the instructions on the device, the </w:t>
      </w:r>
      <w:r w:rsidRPr="37D35C3F" w:rsidR="00024CFA">
        <w:rPr>
          <w:color w:val="auto"/>
        </w:rPr>
        <w:t>pupil’s</w:t>
      </w:r>
      <w:r w:rsidRPr="37D35C3F" w:rsidR="00024CFA">
        <w:rPr>
          <w:color w:val="auto"/>
        </w:rPr>
        <w:t xml:space="preserve"> Allergy Action Plan where available, and any emergency services advice.</w:t>
      </w:r>
    </w:p>
    <w:p w:rsidRPr="004E2C71" w:rsidR="004E2C71" w:rsidP="37D35C3F" w:rsidRDefault="004E2C71" w14:paraId="063A8BDA" w14:textId="79574DAE">
      <w:pPr>
        <w:rPr>
          <w:color w:val="auto" w:themeColor="text1"/>
        </w:rPr>
      </w:pPr>
      <w:r w:rsidRPr="37D35C3F" w:rsidR="004E2C71">
        <w:rPr>
          <w:color w:val="auto"/>
        </w:rPr>
        <w:t>Spare AAIs are not a replacement for a pupil’s own prescribed adrenaline devices. Parents/carers remain responsible for providing in-date prescribed medication for their child, including two prescribed adrenaline devices where required.</w:t>
      </w:r>
    </w:p>
    <w:p w:rsidR="00CD7888" w:rsidP="37D35C3F" w:rsidRDefault="00CD7888" w14:paraId="1A31CA90" w14:textId="77777777">
      <w:pPr>
        <w:rPr>
          <w:color w:val="auto" w:themeColor="text1"/>
        </w:rPr>
      </w:pPr>
    </w:p>
    <w:p w:rsidR="00591012" w:rsidP="37D35C3F" w:rsidRDefault="00591012" w14:paraId="2E668A04" w14:textId="77777777">
      <w:pPr>
        <w:rPr>
          <w:color w:val="auto" w:themeColor="text1"/>
        </w:rPr>
      </w:pPr>
    </w:p>
    <w:p w:rsidRPr="00CD7888" w:rsidR="00591012" w:rsidP="37D35C3F" w:rsidRDefault="00591012" w14:paraId="04E761A4" w14:textId="77777777">
      <w:pPr>
        <w:rPr>
          <w:color w:val="auto" w:themeColor="text1"/>
        </w:rPr>
      </w:pPr>
    </w:p>
    <w:p w:rsidRPr="00CD7888" w:rsidR="00CD7888" w:rsidP="37D35C3F" w:rsidRDefault="00CD7888" w14:paraId="0334AD3D" w14:textId="77777777">
      <w:pPr>
        <w:rPr>
          <w:color w:val="auto" w:themeColor="text1"/>
        </w:rPr>
      </w:pPr>
      <w:r w:rsidRPr="37D35C3F" w:rsidR="00CD7888">
        <w:rPr>
          <w:color w:val="auto"/>
        </w:rPr>
        <w:t>Spare AAIs will be:</w:t>
      </w:r>
    </w:p>
    <w:p w:rsidRPr="00CD7888" w:rsidR="00CD7888" w:rsidP="37D35C3F" w:rsidRDefault="00CD7888" w14:paraId="16E6B61C" w14:textId="28FB5E08">
      <w:pPr>
        <w:pStyle w:val="ListParagraph"/>
        <w:numPr>
          <w:ilvl w:val="0"/>
          <w:numId w:val="22"/>
        </w:numPr>
        <w:rPr>
          <w:color w:val="auto" w:themeColor="text1"/>
        </w:rPr>
      </w:pPr>
      <w:r w:rsidRPr="37D35C3F" w:rsidR="00CD7888">
        <w:rPr>
          <w:color w:val="auto"/>
        </w:rPr>
        <w:t>the correct dosage for the pupils who may need them</w:t>
      </w:r>
    </w:p>
    <w:p w:rsidRPr="00CD7888" w:rsidR="00CD7888" w:rsidP="37D35C3F" w:rsidRDefault="00CD7888" w14:paraId="2BE50573" w14:textId="4E5320B0">
      <w:pPr>
        <w:pStyle w:val="ListParagraph"/>
        <w:numPr>
          <w:ilvl w:val="0"/>
          <w:numId w:val="22"/>
        </w:numPr>
        <w:rPr>
          <w:color w:val="auto" w:themeColor="text1"/>
        </w:rPr>
      </w:pPr>
      <w:r w:rsidRPr="37D35C3F" w:rsidR="00CD7888">
        <w:rPr>
          <w:color w:val="auto"/>
        </w:rPr>
        <w:t>clearly labelled by dosage and as spare emergency devices</w:t>
      </w:r>
    </w:p>
    <w:p w:rsidRPr="00CD7888" w:rsidR="00CD7888" w:rsidP="37D35C3F" w:rsidRDefault="00CD7888" w14:paraId="0C0EDCE1" w14:textId="6619DA39">
      <w:pPr>
        <w:pStyle w:val="ListParagraph"/>
        <w:numPr>
          <w:ilvl w:val="0"/>
          <w:numId w:val="22"/>
        </w:numPr>
        <w:rPr>
          <w:color w:val="auto" w:themeColor="text1"/>
        </w:rPr>
      </w:pPr>
      <w:r w:rsidRPr="37D35C3F" w:rsidR="00CD7888">
        <w:rPr>
          <w:color w:val="auto"/>
        </w:rPr>
        <w:t>stored in a way that helps staff select the appropriate device in an emergency</w:t>
      </w:r>
    </w:p>
    <w:p w:rsidRPr="00CD7888" w:rsidR="00CD7888" w:rsidP="37D35C3F" w:rsidRDefault="00CD7888" w14:paraId="313C5DE2" w14:textId="08D5B831">
      <w:pPr>
        <w:pStyle w:val="ListParagraph"/>
        <w:numPr>
          <w:ilvl w:val="0"/>
          <w:numId w:val="22"/>
        </w:numPr>
        <w:rPr>
          <w:color w:val="auto" w:themeColor="text1"/>
        </w:rPr>
      </w:pPr>
      <w:r w:rsidRPr="37D35C3F" w:rsidR="00CD7888">
        <w:rPr>
          <w:color w:val="auto"/>
        </w:rPr>
        <w:t>stored in pairs where practicable</w:t>
      </w:r>
    </w:p>
    <w:p w:rsidRPr="00CD7888" w:rsidR="00CD7888" w:rsidP="37D35C3F" w:rsidRDefault="00CD7888" w14:paraId="73EA7F24" w14:textId="0A07F078">
      <w:pPr>
        <w:pStyle w:val="ListParagraph"/>
        <w:numPr>
          <w:ilvl w:val="0"/>
          <w:numId w:val="22"/>
        </w:numPr>
        <w:rPr>
          <w:color w:val="auto" w:themeColor="text1"/>
        </w:rPr>
      </w:pPr>
      <w:r w:rsidRPr="37D35C3F" w:rsidR="00CD7888">
        <w:rPr>
          <w:color w:val="auto"/>
        </w:rPr>
        <w:t>stored safely, readily accessible to staff and not locked away</w:t>
      </w:r>
    </w:p>
    <w:p w:rsidRPr="00CD7888" w:rsidR="00CD7888" w:rsidP="37D35C3F" w:rsidRDefault="00CD7888" w14:paraId="061C7255" w14:textId="6DA0D5B3">
      <w:pPr>
        <w:pStyle w:val="ListParagraph"/>
        <w:numPr>
          <w:ilvl w:val="0"/>
          <w:numId w:val="22"/>
        </w:numPr>
        <w:rPr>
          <w:color w:val="auto" w:themeColor="text1"/>
        </w:rPr>
      </w:pPr>
      <w:r w:rsidRPr="37D35C3F" w:rsidR="00CD7888">
        <w:rPr>
          <w:color w:val="auto"/>
        </w:rPr>
        <w:t>located so that adrenaline can be brought to the person experiencing suspected anaphylaxis without delay and, as far as reasonably practicable, within five minutes</w:t>
      </w:r>
    </w:p>
    <w:p w:rsidRPr="00CD7888" w:rsidR="00CD7888" w:rsidP="37D35C3F" w:rsidRDefault="00CD7888" w14:paraId="27497A0E" w14:textId="4C8DDE83">
      <w:pPr>
        <w:pStyle w:val="ListParagraph"/>
        <w:numPr>
          <w:ilvl w:val="0"/>
          <w:numId w:val="22"/>
        </w:numPr>
        <w:rPr>
          <w:color w:val="auto" w:themeColor="text1"/>
        </w:rPr>
      </w:pPr>
      <w:r w:rsidRPr="37D35C3F" w:rsidR="00CD7888">
        <w:rPr>
          <w:color w:val="auto"/>
        </w:rPr>
        <w:t>checked regularly and replaced before expiry or after use.</w:t>
      </w:r>
    </w:p>
    <w:p w:rsidR="009F3376" w:rsidP="37D35C3F" w:rsidRDefault="009F3376" w14:paraId="6A53C1BD" w14:textId="25CA4425">
      <w:pPr>
        <w:rPr>
          <w:color w:val="auto" w:themeColor="text1"/>
        </w:rPr>
      </w:pPr>
      <w:r w:rsidRPr="37D35C3F" w:rsidR="009F3376">
        <w:rPr>
          <w:color w:val="auto"/>
        </w:rPr>
        <w:t>Where the school holds more than one dosage of spare AAI, local arrangements must clearly identify which dose is intended for which pupil group or weight range, in line with national guidance, manufacturer instructions and any healthcare professional advice available to the school. This information should be reflected in the school’s local arrangements for spare AAIs, including the number, dosage and location of devices held.</w:t>
      </w:r>
    </w:p>
    <w:p w:rsidRPr="004E2C71" w:rsidR="004E2C71" w:rsidP="37D35C3F" w:rsidRDefault="004E2C71" w14:paraId="0FE1F7CE" w14:textId="0322D50B">
      <w:pPr>
        <w:rPr>
          <w:color w:val="auto" w:themeColor="text1"/>
        </w:rPr>
      </w:pPr>
      <w:r w:rsidRPr="37D35C3F" w:rsidR="004E2C71">
        <w:rPr>
          <w:color w:val="auto"/>
        </w:rPr>
        <w:t>Where the school has a large site, split site, extensive grounds or separate buildings, the school will consider whether more than one pair of spare AAIs is needed to support timely access.</w:t>
      </w:r>
    </w:p>
    <w:p w:rsidRPr="004E2C71" w:rsidR="004E2C71" w:rsidP="37D35C3F" w:rsidRDefault="004E2C71" w14:paraId="07D476ED" w14:textId="77777777">
      <w:pPr>
        <w:rPr>
          <w:color w:val="auto" w:themeColor="text1"/>
        </w:rPr>
      </w:pPr>
      <w:r w:rsidRPr="37D35C3F" w:rsidR="004E2C71">
        <w:rPr>
          <w:color w:val="auto"/>
        </w:rPr>
        <w:t>The school will record the number, dosage, expiry dates and location of spare AAIs. The named allergy and anaphylaxis lead, or another identified member of staff, will check spare AAIs monthly and support replacement arrangements where required.</w:t>
      </w:r>
    </w:p>
    <w:p w:rsidRPr="004E2C71" w:rsidR="004E2C71" w:rsidP="37D35C3F" w:rsidRDefault="004E2C71" w14:paraId="28CB5FB5" w14:textId="2EE1F886">
      <w:pPr>
        <w:rPr>
          <w:color w:val="auto" w:themeColor="text1"/>
        </w:rPr>
      </w:pPr>
      <w:r w:rsidRPr="37D35C3F" w:rsidR="004E2C71">
        <w:rPr>
          <w:color w:val="auto"/>
        </w:rPr>
        <w:t>The wider term adrenaline device may include an adrenaline auto-injector or, where prescribed to an individual, a non-injectable nasal adrenaline device. Schools may currently purchase spare AAIs only. If a person prescribed a nasal adrenaline device experiences suspected anaphylaxis and their prescribed device is not available, the school’s spare AAI may be used in an emergency.</w:t>
      </w:r>
    </w:p>
    <w:p w:rsidRPr="00CB7A66" w:rsidR="00AB66DB" w:rsidP="37D35C3F" w:rsidRDefault="00D03085" w14:paraId="33CEC5AD" w14:textId="77777777">
      <w:pPr>
        <w:rPr>
          <w:b w:val="1"/>
          <w:bCs w:val="1"/>
          <w:color w:val="auto"/>
        </w:rPr>
      </w:pPr>
      <w:r w:rsidRPr="37D35C3F" w:rsidR="00D03085">
        <w:rPr>
          <w:b w:val="1"/>
          <w:bCs w:val="1"/>
          <w:color w:val="auto"/>
        </w:rPr>
        <w:t>Local arrangements:</w:t>
      </w:r>
    </w:p>
    <w:tbl>
      <w:tblPr>
        <w:tblStyle w:val="TableGrid"/>
        <w:tblW w:w="0" w:type="auto"/>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Look w:val="04A0" w:firstRow="1" w:lastRow="0" w:firstColumn="1" w:lastColumn="0" w:noHBand="0" w:noVBand="1"/>
      </w:tblPr>
      <w:tblGrid>
        <w:gridCol w:w="5382"/>
        <w:gridCol w:w="4580"/>
      </w:tblGrid>
      <w:tr w:rsidRPr="00591012" w:rsidR="00AB66DB" w:rsidTr="37D35C3F" w14:paraId="7B88265E" w14:textId="77777777">
        <w:trPr>
          <w:trHeight w:val="601"/>
        </w:trPr>
        <w:tc>
          <w:tcPr>
            <w:tcW w:w="5382" w:type="dxa"/>
            <w:shd w:val="clear" w:color="auto" w:fill="E3F1ED" w:themeFill="accent3" w:themeFillTint="33"/>
            <w:tcMar/>
            <w:vAlign w:val="center"/>
          </w:tcPr>
          <w:p w:rsidRPr="00591012" w:rsidR="00AB66DB" w:rsidP="37D35C3F" w:rsidRDefault="00EE2323" w14:paraId="518D1B1B" w14:textId="7E8AAFBF">
            <w:pPr>
              <w:rPr>
                <w:color w:val="auto"/>
                <w:highlight w:val="yellow"/>
              </w:rPr>
            </w:pPr>
            <w:r w:rsidRPr="37D35C3F" w:rsidR="0EAA7A63">
              <w:rPr>
                <w:color w:val="auto"/>
                <w:highlight w:val="yellow"/>
              </w:rPr>
              <w:t>Number, dosage and location of spare AAIs held</w:t>
            </w:r>
          </w:p>
        </w:tc>
        <w:tc>
          <w:tcPr>
            <w:tcW w:w="4580" w:type="dxa"/>
            <w:tcMar/>
            <w:vAlign w:val="center"/>
          </w:tcPr>
          <w:p w:rsidRPr="00591012" w:rsidR="00AB66DB" w:rsidP="37D35C3F" w:rsidRDefault="00D03085" w14:paraId="33136113" w14:textId="77777777">
            <w:pPr>
              <w:rPr>
                <w:color w:val="auto" w:themeColor="accent1" w:themeShade="BF"/>
                <w:highlight w:val="yellow"/>
              </w:rPr>
            </w:pPr>
            <w:r w:rsidRPr="37D35C3F" w:rsidR="00D03085">
              <w:rPr>
                <w:color w:val="auto"/>
                <w:highlight w:val="yellow"/>
              </w:rPr>
              <w:t>[Insert details]</w:t>
            </w:r>
          </w:p>
        </w:tc>
      </w:tr>
      <w:tr w:rsidRPr="00591012" w:rsidR="00AB66DB" w:rsidTr="37D35C3F" w14:paraId="36106BF0" w14:textId="77777777">
        <w:trPr>
          <w:trHeight w:val="553"/>
        </w:trPr>
        <w:tc>
          <w:tcPr>
            <w:tcW w:w="5382" w:type="dxa"/>
            <w:shd w:val="clear" w:color="auto" w:fill="E3F1ED" w:themeFill="accent3" w:themeFillTint="33"/>
            <w:tcMar/>
            <w:vAlign w:val="center"/>
          </w:tcPr>
          <w:p w:rsidRPr="00591012" w:rsidR="00AB66DB" w:rsidP="37D35C3F" w:rsidRDefault="00D03085" w14:paraId="227A9C05" w14:textId="77777777">
            <w:pPr>
              <w:rPr>
                <w:color w:val="auto"/>
                <w:highlight w:val="yellow"/>
              </w:rPr>
            </w:pPr>
            <w:r w:rsidRPr="37D35C3F" w:rsidR="00D03085">
              <w:rPr>
                <w:color w:val="auto"/>
                <w:highlight w:val="yellow"/>
              </w:rPr>
              <w:t>Storage location(s)</w:t>
            </w:r>
          </w:p>
        </w:tc>
        <w:tc>
          <w:tcPr>
            <w:tcW w:w="4580" w:type="dxa"/>
            <w:tcMar/>
            <w:vAlign w:val="center"/>
          </w:tcPr>
          <w:p w:rsidRPr="00591012" w:rsidR="00AB66DB" w:rsidP="37D35C3F" w:rsidRDefault="00D03085" w14:paraId="208258BD" w14:textId="77777777">
            <w:pPr>
              <w:rPr>
                <w:color w:val="auto" w:themeColor="accent1" w:themeShade="BF"/>
                <w:highlight w:val="yellow"/>
              </w:rPr>
            </w:pPr>
            <w:r w:rsidRPr="37D35C3F" w:rsidR="00D03085">
              <w:rPr>
                <w:color w:val="auto"/>
                <w:highlight w:val="yellow"/>
              </w:rPr>
              <w:t>[Insert details]</w:t>
            </w:r>
          </w:p>
        </w:tc>
      </w:tr>
      <w:tr w:rsidRPr="00591012" w:rsidR="00AB66DB" w:rsidTr="37D35C3F" w14:paraId="23C1C3E6" w14:textId="77777777">
        <w:trPr>
          <w:trHeight w:val="561"/>
        </w:trPr>
        <w:tc>
          <w:tcPr>
            <w:tcW w:w="5382" w:type="dxa"/>
            <w:shd w:val="clear" w:color="auto" w:fill="E3F1ED" w:themeFill="accent3" w:themeFillTint="33"/>
            <w:tcMar/>
            <w:vAlign w:val="center"/>
          </w:tcPr>
          <w:p w:rsidRPr="00591012" w:rsidR="00AB66DB" w:rsidP="37D35C3F" w:rsidRDefault="00D03085" w14:paraId="5EC619D6" w14:textId="77777777">
            <w:pPr>
              <w:rPr>
                <w:color w:val="auto"/>
                <w:highlight w:val="yellow"/>
              </w:rPr>
            </w:pPr>
            <w:r w:rsidRPr="37D35C3F" w:rsidR="00D03085">
              <w:rPr>
                <w:color w:val="auto"/>
                <w:highlight w:val="yellow"/>
              </w:rPr>
              <w:t>Person responsible for monthly checks</w:t>
            </w:r>
          </w:p>
        </w:tc>
        <w:tc>
          <w:tcPr>
            <w:tcW w:w="4580" w:type="dxa"/>
            <w:tcMar/>
            <w:vAlign w:val="center"/>
          </w:tcPr>
          <w:p w:rsidRPr="00591012" w:rsidR="00AB66DB" w:rsidP="37D35C3F" w:rsidRDefault="00D03085" w14:paraId="0FD38701" w14:textId="77777777">
            <w:pPr>
              <w:rPr>
                <w:color w:val="auto" w:themeColor="accent1" w:themeShade="BF"/>
                <w:highlight w:val="yellow"/>
              </w:rPr>
            </w:pPr>
            <w:r w:rsidRPr="37D35C3F" w:rsidR="00D03085">
              <w:rPr>
                <w:color w:val="auto"/>
                <w:highlight w:val="yellow"/>
              </w:rPr>
              <w:t>[Insert name/role]</w:t>
            </w:r>
          </w:p>
        </w:tc>
      </w:tr>
      <w:tr w:rsidRPr="00591012" w:rsidR="00AB66DB" w:rsidTr="37D35C3F" w14:paraId="22A220CE" w14:textId="77777777">
        <w:trPr>
          <w:trHeight w:val="555"/>
        </w:trPr>
        <w:tc>
          <w:tcPr>
            <w:tcW w:w="5382" w:type="dxa"/>
            <w:shd w:val="clear" w:color="auto" w:fill="E3F1ED" w:themeFill="accent3" w:themeFillTint="33"/>
            <w:tcMar/>
            <w:vAlign w:val="center"/>
          </w:tcPr>
          <w:p w:rsidRPr="00591012" w:rsidR="00AB66DB" w:rsidP="37D35C3F" w:rsidRDefault="00D03085" w14:paraId="07A9A52F" w14:textId="77777777">
            <w:pPr>
              <w:rPr>
                <w:color w:val="auto"/>
                <w:highlight w:val="yellow"/>
              </w:rPr>
            </w:pPr>
            <w:r w:rsidRPr="37D35C3F" w:rsidR="00D03085">
              <w:rPr>
                <w:color w:val="auto"/>
                <w:highlight w:val="yellow"/>
              </w:rPr>
              <w:t>Replacement process</w:t>
            </w:r>
          </w:p>
        </w:tc>
        <w:tc>
          <w:tcPr>
            <w:tcW w:w="4580" w:type="dxa"/>
            <w:tcMar/>
            <w:vAlign w:val="center"/>
          </w:tcPr>
          <w:p w:rsidRPr="00591012" w:rsidR="00AB66DB" w:rsidP="37D35C3F" w:rsidRDefault="00D03085" w14:paraId="5EED6D82" w14:textId="77777777">
            <w:pPr>
              <w:rPr>
                <w:color w:val="auto" w:themeColor="accent1" w:themeShade="BF"/>
                <w:highlight w:val="yellow"/>
              </w:rPr>
            </w:pPr>
            <w:r w:rsidRPr="37D35C3F" w:rsidR="00D03085">
              <w:rPr>
                <w:color w:val="auto"/>
                <w:highlight w:val="yellow"/>
              </w:rPr>
              <w:t>[Insert details]</w:t>
            </w:r>
          </w:p>
        </w:tc>
      </w:tr>
      <w:tr w:rsidR="00AB66DB" w:rsidTr="37D35C3F" w14:paraId="7041B13E" w14:textId="77777777">
        <w:trPr>
          <w:trHeight w:val="549"/>
        </w:trPr>
        <w:tc>
          <w:tcPr>
            <w:tcW w:w="5382" w:type="dxa"/>
            <w:shd w:val="clear" w:color="auto" w:fill="E3F1ED" w:themeFill="accent3" w:themeFillTint="33"/>
            <w:tcMar/>
            <w:vAlign w:val="center"/>
          </w:tcPr>
          <w:p w:rsidRPr="00591012" w:rsidR="00AB66DB" w:rsidP="37D35C3F" w:rsidRDefault="00D03085" w14:paraId="7F0783CA" w14:textId="77777777">
            <w:pPr>
              <w:rPr>
                <w:color w:val="auto"/>
                <w:highlight w:val="yellow"/>
              </w:rPr>
            </w:pPr>
            <w:r w:rsidRPr="37D35C3F" w:rsidR="00D03085">
              <w:rPr>
                <w:color w:val="auto"/>
                <w:highlight w:val="yellow"/>
              </w:rPr>
              <w:t>Record location</w:t>
            </w:r>
          </w:p>
        </w:tc>
        <w:tc>
          <w:tcPr>
            <w:tcW w:w="4580" w:type="dxa"/>
            <w:tcMar/>
            <w:vAlign w:val="center"/>
          </w:tcPr>
          <w:p w:rsidRPr="0090415D" w:rsidR="00AB66DB" w:rsidP="37D35C3F" w:rsidRDefault="00D03085" w14:paraId="7BB08DD6" w14:textId="77777777">
            <w:pPr>
              <w:rPr>
                <w:color w:val="auto" w:themeColor="accent1" w:themeShade="BF"/>
              </w:rPr>
            </w:pPr>
            <w:r w:rsidRPr="37D35C3F" w:rsidR="00D03085">
              <w:rPr>
                <w:color w:val="auto"/>
                <w:highlight w:val="yellow"/>
              </w:rPr>
              <w:t>[Insert details]</w:t>
            </w:r>
          </w:p>
        </w:tc>
      </w:tr>
    </w:tbl>
    <w:p w:rsidRPr="00775D4E" w:rsidR="00AB66DB" w:rsidP="37D35C3F" w:rsidRDefault="00D03085" w14:paraId="15C4DB25" w14:textId="13782396">
      <w:pPr>
        <w:pStyle w:val="Heading1"/>
        <w:spacing w:before="240" w:line="360" w:lineRule="auto"/>
        <w:rPr>
          <w:color w:val="auto"/>
        </w:rPr>
      </w:pPr>
      <w:r w:rsidRPr="37D35C3F" w:rsidR="00D03085">
        <w:rPr>
          <w:rFonts w:ascii="Arial" w:hAnsi="Arial" w:eastAsia="Arial"/>
          <w:color w:val="auto"/>
        </w:rPr>
        <w:t>1</w:t>
      </w:r>
      <w:r w:rsidRPr="37D35C3F" w:rsidR="006A576E">
        <w:rPr>
          <w:rFonts w:ascii="Arial" w:hAnsi="Arial" w:eastAsia="Arial"/>
          <w:color w:val="auto"/>
        </w:rPr>
        <w:t>2</w:t>
      </w:r>
      <w:r w:rsidRPr="37D35C3F" w:rsidR="00D03085">
        <w:rPr>
          <w:rFonts w:ascii="Arial" w:hAnsi="Arial" w:eastAsia="Arial"/>
          <w:color w:val="auto"/>
        </w:rPr>
        <w:t>. Training and awareness</w:t>
      </w:r>
    </w:p>
    <w:p w:rsidR="00FA2C82" w:rsidP="37D35C3F" w:rsidRDefault="00FA2C82" w14:paraId="1F4F41AE" w14:textId="77777777">
      <w:pPr>
        <w:rPr>
          <w:color w:val="auto"/>
        </w:rPr>
      </w:pPr>
      <w:r w:rsidRPr="37D35C3F" w:rsidR="00FA2C82">
        <w:rPr>
          <w:color w:val="auto"/>
        </w:rPr>
        <w:t>The school will provide allergy awareness and emergency response training for staff who are present when pupils are on site and whose role may involve pupil contact or allergy safety arrangements. Training will be provided at induction and refreshed at least annually, or sooner where required following a serious allergic reaction, significant near miss, change in guidance, change in pupil need or change in local arrangements.</w:t>
      </w:r>
    </w:p>
    <w:p w:rsidR="00E91D71" w:rsidP="37D35C3F" w:rsidRDefault="00E91D71" w14:paraId="5A691B35" w14:textId="0D95C14F">
      <w:pPr>
        <w:rPr>
          <w:color w:val="auto"/>
        </w:rPr>
      </w:pPr>
      <w:r w:rsidRPr="37D35C3F" w:rsidR="00E91D71">
        <w:rPr>
          <w:color w:val="auto"/>
        </w:rPr>
        <w:t xml:space="preserve">Training may be provided by a competent training provider, healthcare professional, school nursing service, first aid training provider or other suitably competent person or </w:t>
      </w:r>
      <w:r w:rsidRPr="37D35C3F" w:rsidR="00E91D71">
        <w:rPr>
          <w:color w:val="auto"/>
        </w:rPr>
        <w:t>organisation</w:t>
      </w:r>
      <w:r w:rsidRPr="37D35C3F" w:rsidR="00E91D71">
        <w:rPr>
          <w:color w:val="auto"/>
        </w:rPr>
        <w:t>. The level of training required will depend on the staff role, the pupil’s needs, the medication involved and whether the staff member is expected to administer an AAI or provide pupil-specific support. Where a staff member is expected to administer medication or provide pupil-specific support, the school should confirm that they are competent and confident to do so.</w:t>
      </w:r>
    </w:p>
    <w:p w:rsidR="00FA2C82" w:rsidP="37D35C3F" w:rsidRDefault="00FA2C82" w14:paraId="558F724B" w14:textId="77777777">
      <w:pPr>
        <w:rPr>
          <w:color w:val="auto"/>
        </w:rPr>
      </w:pPr>
      <w:r w:rsidRPr="37D35C3F" w:rsidR="00FA2C82">
        <w:rPr>
          <w:color w:val="auto"/>
        </w:rPr>
        <w:t>Training will be proportionate to staff roles and will include, where relevant:</w:t>
      </w:r>
    </w:p>
    <w:p w:rsidR="00FA2C82" w:rsidP="37D35C3F" w:rsidRDefault="00FA2C82" w14:paraId="28474334" w14:textId="0788B3CF">
      <w:pPr>
        <w:pStyle w:val="ListParagraph"/>
        <w:numPr>
          <w:ilvl w:val="0"/>
          <w:numId w:val="17"/>
        </w:numPr>
        <w:rPr>
          <w:color w:val="auto"/>
        </w:rPr>
      </w:pPr>
      <w:r w:rsidRPr="37D35C3F" w:rsidR="00FA2C82">
        <w:rPr>
          <w:color w:val="auto"/>
        </w:rPr>
        <w:t>common allergens and allergy triggers</w:t>
      </w:r>
    </w:p>
    <w:p w:rsidR="00FA2C82" w:rsidP="37D35C3F" w:rsidRDefault="00FA2C82" w14:paraId="50E9D85D" w14:textId="2FD22B0F">
      <w:pPr>
        <w:pStyle w:val="ListParagraph"/>
        <w:numPr>
          <w:ilvl w:val="0"/>
          <w:numId w:val="17"/>
        </w:numPr>
        <w:rPr>
          <w:color w:val="auto"/>
        </w:rPr>
      </w:pPr>
      <w:r w:rsidRPr="37D35C3F" w:rsidR="00FA2C82">
        <w:rPr>
          <w:color w:val="auto"/>
        </w:rPr>
        <w:t>how</w:t>
      </w:r>
      <w:r w:rsidRPr="37D35C3F" w:rsidR="00FA2C82">
        <w:rPr>
          <w:color w:val="auto"/>
        </w:rPr>
        <w:t xml:space="preserve"> allergic reactions can occur</w:t>
      </w:r>
    </w:p>
    <w:p w:rsidR="00FA2C82" w:rsidP="37D35C3F" w:rsidRDefault="00FA2C82" w14:paraId="361E43A6" w14:textId="7783C9C9">
      <w:pPr>
        <w:pStyle w:val="ListParagraph"/>
        <w:numPr>
          <w:ilvl w:val="0"/>
          <w:numId w:val="17"/>
        </w:numPr>
        <w:rPr>
          <w:color w:val="auto"/>
        </w:rPr>
      </w:pPr>
      <w:r w:rsidRPr="37D35C3F" w:rsidR="00FA2C82">
        <w:rPr>
          <w:color w:val="auto"/>
        </w:rPr>
        <w:t>recognition of mild, moderate and severe allergic reactions</w:t>
      </w:r>
    </w:p>
    <w:p w:rsidR="00FA2C82" w:rsidP="37D35C3F" w:rsidRDefault="00FA2C82" w14:paraId="4216054E" w14:textId="1A2BB61A">
      <w:pPr>
        <w:pStyle w:val="ListParagraph"/>
        <w:numPr>
          <w:ilvl w:val="0"/>
          <w:numId w:val="17"/>
        </w:numPr>
        <w:rPr>
          <w:color w:val="auto"/>
        </w:rPr>
      </w:pPr>
      <w:r w:rsidRPr="37D35C3F" w:rsidR="00FA2C82">
        <w:rPr>
          <w:color w:val="auto"/>
        </w:rPr>
        <w:t>recognition of anaphylaxis and the need for immediate action</w:t>
      </w:r>
    </w:p>
    <w:p w:rsidR="00FA2C82" w:rsidP="37D35C3F" w:rsidRDefault="00FA2C82" w14:paraId="61D65E8C" w14:textId="2C5185EB">
      <w:pPr>
        <w:pStyle w:val="ListParagraph"/>
        <w:numPr>
          <w:ilvl w:val="0"/>
          <w:numId w:val="17"/>
        </w:numPr>
        <w:rPr>
          <w:color w:val="auto"/>
        </w:rPr>
      </w:pPr>
      <w:r w:rsidRPr="37D35C3F" w:rsidR="00FA2C82">
        <w:rPr>
          <w:color w:val="auto"/>
        </w:rPr>
        <w:t>how and when to call 999</w:t>
      </w:r>
    </w:p>
    <w:p w:rsidR="00FA2C82" w:rsidP="37D35C3F" w:rsidRDefault="00FA2C82" w14:paraId="77F5F932" w14:textId="03180CF8">
      <w:pPr>
        <w:pStyle w:val="ListParagraph"/>
        <w:numPr>
          <w:ilvl w:val="0"/>
          <w:numId w:val="17"/>
        </w:numPr>
        <w:rPr>
          <w:color w:val="auto"/>
        </w:rPr>
      </w:pPr>
      <w:r w:rsidRPr="37D35C3F" w:rsidR="00FA2C82">
        <w:rPr>
          <w:color w:val="auto"/>
        </w:rPr>
        <w:t>where pupil medication and spare AAIs are located</w:t>
      </w:r>
    </w:p>
    <w:p w:rsidR="00FA2C82" w:rsidP="37D35C3F" w:rsidRDefault="00FA2C82" w14:paraId="3265F949" w14:textId="7314F597">
      <w:pPr>
        <w:pStyle w:val="ListParagraph"/>
        <w:numPr>
          <w:ilvl w:val="0"/>
          <w:numId w:val="17"/>
        </w:numPr>
        <w:rPr>
          <w:color w:val="auto"/>
        </w:rPr>
      </w:pPr>
      <w:r w:rsidRPr="37D35C3F" w:rsidR="00FA2C82">
        <w:rPr>
          <w:color w:val="auto"/>
        </w:rPr>
        <w:t xml:space="preserve">how to administer AAIs, including practical </w:t>
      </w:r>
      <w:r w:rsidRPr="37D35C3F" w:rsidR="00FA2C82">
        <w:rPr>
          <w:color w:val="auto"/>
        </w:rPr>
        <w:t>familiarisation</w:t>
      </w:r>
      <w:r w:rsidRPr="37D35C3F" w:rsidR="00FA2C82">
        <w:rPr>
          <w:color w:val="auto"/>
        </w:rPr>
        <w:t xml:space="preserve"> with trainer devices where available</w:t>
      </w:r>
    </w:p>
    <w:p w:rsidR="00FA2C82" w:rsidP="37D35C3F" w:rsidRDefault="00FA2C82" w14:paraId="0D1944C2" w14:textId="49D96256">
      <w:pPr>
        <w:pStyle w:val="ListParagraph"/>
        <w:numPr>
          <w:ilvl w:val="0"/>
          <w:numId w:val="17"/>
        </w:numPr>
        <w:rPr>
          <w:color w:val="auto"/>
        </w:rPr>
      </w:pPr>
      <w:r w:rsidRPr="37D35C3F" w:rsidR="00FA2C82">
        <w:rPr>
          <w:color w:val="auto"/>
        </w:rPr>
        <w:t>the school’s allergy safety arrangements, including risk reduction measures, allergen avoidance and cross-contamination controls</w:t>
      </w:r>
    </w:p>
    <w:p w:rsidR="00FA2C82" w:rsidP="37D35C3F" w:rsidRDefault="00FA2C82" w14:paraId="1D6F74C9" w14:textId="14CFAB79">
      <w:pPr>
        <w:pStyle w:val="ListParagraph"/>
        <w:numPr>
          <w:ilvl w:val="0"/>
          <w:numId w:val="17"/>
        </w:numPr>
        <w:rPr>
          <w:color w:val="auto"/>
        </w:rPr>
      </w:pPr>
      <w:r w:rsidRPr="37D35C3F" w:rsidR="00FA2C82">
        <w:rPr>
          <w:color w:val="auto"/>
        </w:rPr>
        <w:t>staff roles and responsibilities</w:t>
      </w:r>
    </w:p>
    <w:p w:rsidR="00FA2C82" w:rsidP="37D35C3F" w:rsidRDefault="00FA2C82" w14:paraId="57E0003C" w14:textId="00C5DA12">
      <w:pPr>
        <w:pStyle w:val="ListParagraph"/>
        <w:numPr>
          <w:ilvl w:val="0"/>
          <w:numId w:val="17"/>
        </w:numPr>
        <w:rPr>
          <w:color w:val="auto"/>
        </w:rPr>
      </w:pPr>
      <w:r w:rsidRPr="37D35C3F" w:rsidR="00FA2C82">
        <w:rPr>
          <w:color w:val="auto"/>
        </w:rPr>
        <w:t>how to report allergic reactions, suspected anaphylaxis, serious incidents and near misses.</w:t>
      </w:r>
    </w:p>
    <w:p w:rsidR="003249CC" w:rsidP="37D35C3F" w:rsidRDefault="00FA2C82" w14:paraId="3A532A93" w14:textId="77777777">
      <w:pPr>
        <w:rPr>
          <w:color w:val="auto"/>
        </w:rPr>
      </w:pPr>
      <w:r w:rsidRPr="37D35C3F" w:rsidR="00FA2C82">
        <w:rPr>
          <w:color w:val="auto"/>
        </w:rPr>
        <w:t xml:space="preserve">Where a pupil requires individual support, medication, emergency arrangements or procedures that go beyond general allergy awareness, the school will arrange pupil-specific information, instruction or training where required. Clinical or technical training will be supported by appropriate </w:t>
      </w:r>
      <w:r w:rsidRPr="37D35C3F" w:rsidR="00FA2C82">
        <w:rPr>
          <w:color w:val="auto"/>
        </w:rPr>
        <w:t>healthcare professional</w:t>
      </w:r>
      <w:r w:rsidRPr="37D35C3F" w:rsidR="00FA2C82">
        <w:rPr>
          <w:color w:val="auto"/>
        </w:rPr>
        <w:t xml:space="preserve"> advice where needed.</w:t>
      </w:r>
      <w:r w:rsidRPr="37D35C3F" w:rsidR="008B216C">
        <w:rPr>
          <w:color w:val="auto"/>
        </w:rPr>
        <w:t xml:space="preserve"> </w:t>
      </w:r>
    </w:p>
    <w:p w:rsidR="0018028C" w:rsidP="37D35C3F" w:rsidRDefault="003249CC" w14:paraId="3766ED0B" w14:textId="77777777">
      <w:pPr>
        <w:rPr>
          <w:color w:val="auto"/>
        </w:rPr>
      </w:pPr>
      <w:r w:rsidRPr="37D35C3F" w:rsidR="003249CC">
        <w:rPr>
          <w:color w:val="auto"/>
        </w:rPr>
        <w:t xml:space="preserve">Staff will only be expected to administer allergy medication where they have agreed to do so and have received appropriate information, instruction or training, unless this forms part of their contract, role or job description. Staff should not be pressured to undertake allergy medication administration where this has not been agreed. </w:t>
      </w:r>
      <w:r w:rsidRPr="37D35C3F" w:rsidR="0018028C">
        <w:rPr>
          <w:color w:val="auto"/>
        </w:rPr>
        <w:t>This does not prevent staff from taking reasonable emergency action to preserve life or prevent serious harm, including summoning emergency assistance, calling 999, or following emergency services advice.</w:t>
      </w:r>
    </w:p>
    <w:p w:rsidR="00FA2C82" w:rsidP="37D35C3F" w:rsidRDefault="00FA2C82" w14:paraId="4F67035A" w14:textId="5F6817D3">
      <w:pPr>
        <w:rPr>
          <w:color w:val="auto"/>
        </w:rPr>
      </w:pPr>
      <w:r w:rsidRPr="37D35C3F" w:rsidR="00FA2C82">
        <w:rPr>
          <w:color w:val="auto"/>
        </w:rPr>
        <w:t>First aid training alone will not be treated as a substitute for allergy awareness and emergency response training.</w:t>
      </w:r>
    </w:p>
    <w:p w:rsidR="00FA2C82" w:rsidP="37D35C3F" w:rsidRDefault="00FA2C82" w14:paraId="1C03C910" w14:textId="7D7DDEB9">
      <w:pPr>
        <w:spacing w:after="0"/>
        <w:rPr>
          <w:color w:val="auto"/>
        </w:rPr>
      </w:pPr>
      <w:r w:rsidRPr="37D35C3F" w:rsidR="00FA2C82">
        <w:rPr>
          <w:color w:val="auto"/>
        </w:rPr>
        <w:t>The school will keep records of allergy training, including dates, attendance, training content and refresher requirements.</w:t>
      </w:r>
    </w:p>
    <w:p w:rsidRPr="00775D4E" w:rsidR="00AB66DB" w:rsidP="37D35C3F" w:rsidRDefault="00D03085" w14:paraId="723A6BED" w14:textId="4A2D749B">
      <w:pPr>
        <w:pStyle w:val="Heading1"/>
        <w:spacing w:before="240" w:line="360" w:lineRule="auto"/>
        <w:rPr>
          <w:color w:val="auto"/>
        </w:rPr>
      </w:pPr>
      <w:r w:rsidRPr="37D35C3F" w:rsidR="00D03085">
        <w:rPr>
          <w:rFonts w:ascii="Arial" w:hAnsi="Arial" w:eastAsia="Arial"/>
          <w:color w:val="auto"/>
        </w:rPr>
        <w:t>1</w:t>
      </w:r>
      <w:r w:rsidRPr="37D35C3F" w:rsidR="006A576E">
        <w:rPr>
          <w:rFonts w:ascii="Arial" w:hAnsi="Arial" w:eastAsia="Arial"/>
          <w:color w:val="auto"/>
        </w:rPr>
        <w:t>3</w:t>
      </w:r>
      <w:r w:rsidRPr="37D35C3F" w:rsidR="00D03085">
        <w:rPr>
          <w:rFonts w:ascii="Arial" w:hAnsi="Arial" w:eastAsia="Arial"/>
          <w:color w:val="auto"/>
        </w:rPr>
        <w:t>. Catering and food allergen management</w:t>
      </w:r>
    </w:p>
    <w:p w:rsidR="00FB7118" w:rsidP="37D35C3F" w:rsidRDefault="00FB7118" w14:paraId="7F68A7F7" w14:textId="77777777">
      <w:pPr>
        <w:rPr>
          <w:color w:val="auto"/>
        </w:rPr>
      </w:pPr>
      <w:r w:rsidRPr="37D35C3F" w:rsidR="00FB7118">
        <w:rPr>
          <w:color w:val="auto"/>
        </w:rPr>
        <w:t>The school will work with its catering provider or catering team to manage food allergy risks and provide clear allergen information for food provided by the school. The school will maintain a system for identifying pupils with food allergies to catering staff where this is needed to keep pupils safe.</w:t>
      </w:r>
    </w:p>
    <w:p w:rsidR="00FB7118" w:rsidP="37D35C3F" w:rsidRDefault="00FB7118" w14:paraId="4D1EA5C3" w14:textId="77777777">
      <w:pPr>
        <w:rPr>
          <w:color w:val="auto"/>
        </w:rPr>
      </w:pPr>
      <w:r w:rsidRPr="37D35C3F" w:rsidR="00FB7118">
        <w:rPr>
          <w:color w:val="auto"/>
        </w:rPr>
        <w:t>The school will ensure that, where relevant:</w:t>
      </w:r>
    </w:p>
    <w:p w:rsidR="00FB7118" w:rsidP="37D35C3F" w:rsidRDefault="00FB7118" w14:paraId="00B9B35A" w14:textId="3CFB4391">
      <w:pPr>
        <w:pStyle w:val="ListParagraph"/>
        <w:numPr>
          <w:ilvl w:val="0"/>
          <w:numId w:val="18"/>
        </w:numPr>
        <w:rPr>
          <w:color w:val="auto"/>
        </w:rPr>
      </w:pPr>
      <w:r w:rsidRPr="37D35C3F" w:rsidR="00FB7118">
        <w:rPr>
          <w:color w:val="auto"/>
        </w:rPr>
        <w:t xml:space="preserve">menus and allergen information are available to parents/carers in advance </w:t>
      </w:r>
      <w:r w:rsidRPr="37D35C3F" w:rsidR="00FB7118">
        <w:rPr>
          <w:color w:val="auto"/>
        </w:rPr>
        <w:t>where</w:t>
      </w:r>
      <w:r w:rsidRPr="37D35C3F" w:rsidR="00FB7118">
        <w:rPr>
          <w:color w:val="auto"/>
        </w:rPr>
        <w:t xml:space="preserve"> reasonably practicable</w:t>
      </w:r>
    </w:p>
    <w:p w:rsidR="00FB7118" w:rsidP="37D35C3F" w:rsidRDefault="00FB7118" w14:paraId="6F223346" w14:textId="2C955995">
      <w:pPr>
        <w:pStyle w:val="ListParagraph"/>
        <w:numPr>
          <w:ilvl w:val="0"/>
          <w:numId w:val="18"/>
        </w:numPr>
        <w:rPr>
          <w:color w:val="auto"/>
        </w:rPr>
      </w:pPr>
      <w:r w:rsidRPr="37D35C3F" w:rsidR="00FB7118">
        <w:rPr>
          <w:color w:val="auto"/>
        </w:rPr>
        <w:t>parents/carers can discuss their child’s dietary needs with the catering manager or appropriate member of staff</w:t>
      </w:r>
    </w:p>
    <w:p w:rsidR="00FB7118" w:rsidP="37D35C3F" w:rsidRDefault="00FB7118" w14:paraId="0E15EB63" w14:textId="0538B7C0">
      <w:pPr>
        <w:pStyle w:val="ListParagraph"/>
        <w:numPr>
          <w:ilvl w:val="0"/>
          <w:numId w:val="18"/>
        </w:numPr>
        <w:rPr>
          <w:color w:val="auto"/>
        </w:rPr>
      </w:pPr>
      <w:r w:rsidRPr="37D35C3F" w:rsidR="00FB7118">
        <w:rPr>
          <w:color w:val="auto"/>
        </w:rPr>
        <w:t>ingredient changes, product substitutions and menu changes are checked before food is provided to pupils with known food allergies</w:t>
      </w:r>
    </w:p>
    <w:p w:rsidR="00FB7118" w:rsidP="37D35C3F" w:rsidRDefault="00FB7118" w14:paraId="79F3E3A4" w14:textId="281D135E">
      <w:pPr>
        <w:pStyle w:val="ListParagraph"/>
        <w:numPr>
          <w:ilvl w:val="0"/>
          <w:numId w:val="18"/>
        </w:numPr>
        <w:rPr>
          <w:color w:val="auto"/>
        </w:rPr>
      </w:pPr>
      <w:r w:rsidRPr="37D35C3F" w:rsidR="00FB7118">
        <w:rPr>
          <w:color w:val="auto"/>
        </w:rPr>
        <w:t>reasonable controls are in place to reduce the risk of allergen cross-contact or cross-contamination during storage, preparation, cooking and serving</w:t>
      </w:r>
    </w:p>
    <w:p w:rsidR="00FB7118" w:rsidP="37D35C3F" w:rsidRDefault="00FB7118" w14:paraId="1C711101" w14:textId="256E08AE">
      <w:pPr>
        <w:pStyle w:val="ListParagraph"/>
        <w:numPr>
          <w:ilvl w:val="0"/>
          <w:numId w:val="18"/>
        </w:numPr>
        <w:rPr>
          <w:color w:val="auto"/>
        </w:rPr>
      </w:pPr>
      <w:r w:rsidRPr="37D35C3F" w:rsidR="00FB7118">
        <w:rPr>
          <w:color w:val="auto"/>
        </w:rPr>
        <w:t>food is not provided to primary school age pupils with known food allergies without appropriate parental engagement and agreement</w:t>
      </w:r>
    </w:p>
    <w:p w:rsidR="00FB7118" w:rsidP="37D35C3F" w:rsidRDefault="00FB7118" w14:paraId="38A601BF" w14:textId="4E8A99CD">
      <w:pPr>
        <w:pStyle w:val="ListParagraph"/>
        <w:numPr>
          <w:ilvl w:val="0"/>
          <w:numId w:val="18"/>
        </w:numPr>
        <w:rPr>
          <w:color w:val="auto"/>
        </w:rPr>
      </w:pPr>
      <w:r w:rsidRPr="37D35C3F" w:rsidR="00FB7118">
        <w:rPr>
          <w:color w:val="auto"/>
        </w:rPr>
        <w:t>food used in lessons, crafts, science, celebrations, rewards, fundraising and events is considered as part of allergy risk management where relevant.</w:t>
      </w:r>
    </w:p>
    <w:p w:rsidR="00FB7118" w:rsidP="37D35C3F" w:rsidRDefault="00FB7118" w14:paraId="65F1861E" w14:textId="77777777">
      <w:pPr>
        <w:rPr>
          <w:color w:val="auto"/>
        </w:rPr>
      </w:pPr>
      <w:r w:rsidRPr="37D35C3F" w:rsidR="00FB7118">
        <w:rPr>
          <w:color w:val="auto"/>
        </w:rPr>
        <w:t>The school will also consider allergy risks linked to food brought in by others, including packed lunches, birthday treats, rewards, fundraising events and food provided by visitors or external providers.</w:t>
      </w:r>
    </w:p>
    <w:p w:rsidR="00FB7118" w:rsidP="37D35C3F" w:rsidRDefault="00FB7118" w14:paraId="58473022" w14:textId="77777777">
      <w:pPr>
        <w:rPr>
          <w:color w:val="auto"/>
        </w:rPr>
      </w:pPr>
      <w:r w:rsidRPr="37D35C3F" w:rsidR="00FB7118">
        <w:rPr>
          <w:color w:val="auto"/>
        </w:rPr>
        <w:t>The school does not claim to provide an allergen-free environment. Any specific food restrictions or additional controls will be based on individual need, risk assessment and clear communication.</w:t>
      </w:r>
    </w:p>
    <w:p w:rsidR="00AB66DB" w:rsidP="37D35C3F" w:rsidRDefault="00FB7118" w14:paraId="205E0D52" w14:textId="22B83F42">
      <w:pPr>
        <w:rPr>
          <w:color w:val="auto" w:themeColor="accent1" w:themeShade="BF"/>
        </w:rPr>
      </w:pPr>
      <w:r w:rsidRPr="37D35C3F" w:rsidR="00FB7118">
        <w:rPr>
          <w:color w:val="auto"/>
          <w:highlight w:val="yellow"/>
        </w:rPr>
        <w:t xml:space="preserve">The school’s local catering arrangements are: </w:t>
      </w:r>
      <w:r w:rsidRPr="37D35C3F" w:rsidR="00FB7118">
        <w:rPr>
          <w:color w:val="auto"/>
          <w:highlight w:val="yellow"/>
        </w:rPr>
        <w:t>[Insert details, including provider, special diet process, pupil identification system and communication route]</w:t>
      </w:r>
      <w:r w:rsidRPr="37D35C3F" w:rsidR="00FB7118">
        <w:rPr>
          <w:color w:val="auto"/>
        </w:rPr>
        <w:t xml:space="preserve"> </w:t>
      </w:r>
    </w:p>
    <w:p w:rsidRPr="00775D4E" w:rsidR="00AB66DB" w:rsidP="37D35C3F" w:rsidRDefault="00D03085" w14:paraId="1B97E374" w14:textId="2CF25608">
      <w:pPr>
        <w:pStyle w:val="Heading1"/>
        <w:spacing w:before="240" w:line="360" w:lineRule="auto"/>
        <w:rPr>
          <w:color w:val="auto"/>
        </w:rPr>
      </w:pPr>
      <w:r w:rsidRPr="37D35C3F" w:rsidR="00D03085">
        <w:rPr>
          <w:rFonts w:ascii="Arial" w:hAnsi="Arial" w:eastAsia="Arial"/>
          <w:color w:val="auto"/>
        </w:rPr>
        <w:t>1</w:t>
      </w:r>
      <w:r w:rsidRPr="37D35C3F" w:rsidR="006A576E">
        <w:rPr>
          <w:rFonts w:ascii="Arial" w:hAnsi="Arial" w:eastAsia="Arial"/>
          <w:color w:val="auto"/>
        </w:rPr>
        <w:t>4</w:t>
      </w:r>
      <w:r w:rsidRPr="37D35C3F" w:rsidR="00D03085">
        <w:rPr>
          <w:rFonts w:ascii="Arial" w:hAnsi="Arial" w:eastAsia="Arial"/>
          <w:color w:val="auto"/>
        </w:rPr>
        <w:t>. Educational visits, clubs and school activities</w:t>
      </w:r>
    </w:p>
    <w:p w:rsidR="00D44243" w:rsidP="37D35C3F" w:rsidRDefault="00D44243" w14:paraId="1A339412" w14:textId="77777777">
      <w:pPr>
        <w:rPr>
          <w:color w:val="auto"/>
        </w:rPr>
      </w:pPr>
      <w:r w:rsidRPr="37D35C3F" w:rsidR="00D44243">
        <w:rPr>
          <w:color w:val="auto"/>
        </w:rPr>
        <w:t>The school will consider allergy risks when planning educational visits, residential visits, clubs, sporting fixtures, off-site activities and school events.</w:t>
      </w:r>
    </w:p>
    <w:p w:rsidR="00D44243" w:rsidP="37D35C3F" w:rsidRDefault="00D44243" w14:paraId="4F91BED3" w14:textId="77777777">
      <w:pPr>
        <w:rPr>
          <w:color w:val="auto"/>
        </w:rPr>
      </w:pPr>
      <w:r w:rsidRPr="37D35C3F" w:rsidR="00D44243">
        <w:rPr>
          <w:color w:val="auto"/>
        </w:rPr>
        <w:t xml:space="preserve">Staff leading the activity will check, where relevant, that pupils with allergies have required medication, relevant plans and appropriate emergency arrangements in place. This may </w:t>
      </w:r>
      <w:r w:rsidRPr="37D35C3F" w:rsidR="00D44243">
        <w:rPr>
          <w:color w:val="auto"/>
        </w:rPr>
        <w:t>include the pupil’s Allergy Action Plan, Individual Healthcare Plan, Individual Allergy Risk Assessment and prescribed adrenaline devices.</w:t>
      </w:r>
    </w:p>
    <w:p w:rsidR="00D44243" w:rsidP="37D35C3F" w:rsidRDefault="00D44243" w14:paraId="6BD95644" w14:textId="77777777">
      <w:pPr>
        <w:rPr>
          <w:color w:val="auto"/>
        </w:rPr>
      </w:pPr>
      <w:r w:rsidRPr="37D35C3F" w:rsidR="00D44243">
        <w:rPr>
          <w:color w:val="auto"/>
        </w:rPr>
        <w:t xml:space="preserve">Where a pupil is at risk of anaphylaxis, the school will ensure that staff supervising the activity know how to </w:t>
      </w:r>
      <w:r w:rsidRPr="37D35C3F" w:rsidR="00D44243">
        <w:rPr>
          <w:color w:val="auto"/>
        </w:rPr>
        <w:t>recognise</w:t>
      </w:r>
      <w:r w:rsidRPr="37D35C3F" w:rsidR="00D44243">
        <w:rPr>
          <w:color w:val="auto"/>
        </w:rPr>
        <w:t xml:space="preserve"> an allergic reaction, summon help, access emergency medication and follow the pupil’s emergency arrangements.</w:t>
      </w:r>
    </w:p>
    <w:p w:rsidR="00D44243" w:rsidP="37D35C3F" w:rsidRDefault="00D44243" w14:paraId="2E8B5B4A" w14:textId="77777777">
      <w:pPr>
        <w:rPr>
          <w:color w:val="auto"/>
        </w:rPr>
      </w:pPr>
      <w:r w:rsidRPr="37D35C3F" w:rsidR="00D44243">
        <w:rPr>
          <w:color w:val="auto"/>
        </w:rPr>
        <w:t xml:space="preserve">Where food is provided by an external venue, provider or host </w:t>
      </w:r>
      <w:r w:rsidRPr="37D35C3F" w:rsidR="00D44243">
        <w:rPr>
          <w:color w:val="auto"/>
        </w:rPr>
        <w:t>organisation</w:t>
      </w:r>
      <w:r w:rsidRPr="37D35C3F" w:rsidR="00D44243">
        <w:rPr>
          <w:color w:val="auto"/>
        </w:rPr>
        <w:t>, the school will seek appropriate allergen information in advance and agree safe arrangements with parents/carers where required.</w:t>
      </w:r>
    </w:p>
    <w:p w:rsidR="00384A45" w:rsidP="37D35C3F" w:rsidRDefault="00D44243" w14:paraId="224CA37E" w14:textId="77777777">
      <w:pPr>
        <w:rPr>
          <w:color w:val="auto"/>
        </w:rPr>
      </w:pPr>
      <w:r w:rsidRPr="37D35C3F" w:rsidR="00D44243">
        <w:rPr>
          <w:color w:val="auto"/>
        </w:rPr>
        <w:t>The school will consider whether spare AAIs should be taken on an off-site activity where this is appropriate and can be managed safely. This decision will take account of the pupils attending, the activity, travel time, staffing, access to emergency services and the need to maintain suitable emergency arrangements for pupils remaining on site.</w:t>
      </w:r>
      <w:r w:rsidRPr="37D35C3F" w:rsidR="002E006D">
        <w:rPr>
          <w:color w:val="auto"/>
        </w:rPr>
        <w:t xml:space="preserve"> </w:t>
      </w:r>
    </w:p>
    <w:p w:rsidR="00D44243" w:rsidP="37D35C3F" w:rsidRDefault="002E006D" w14:paraId="52311818" w14:textId="732D0CB0">
      <w:pPr>
        <w:rPr>
          <w:color w:val="auto"/>
        </w:rPr>
      </w:pPr>
      <w:r w:rsidRPr="37D35C3F" w:rsidR="002E006D">
        <w:rPr>
          <w:color w:val="auto"/>
        </w:rPr>
        <w:t xml:space="preserve">Where spare AAIs </w:t>
      </w:r>
      <w:r w:rsidRPr="37D35C3F" w:rsidR="002E006D">
        <w:rPr>
          <w:color w:val="auto"/>
        </w:rPr>
        <w:t>cannot reasonably</w:t>
      </w:r>
      <w:r w:rsidRPr="37D35C3F" w:rsidR="002E006D">
        <w:rPr>
          <w:color w:val="auto"/>
        </w:rPr>
        <w:t xml:space="preserve"> be taken, the visit risk assessment must confirm how emergency arrangements will be managed. This should include ensuring the </w:t>
      </w:r>
      <w:r w:rsidRPr="37D35C3F" w:rsidR="002E006D">
        <w:rPr>
          <w:color w:val="auto"/>
        </w:rPr>
        <w:t>pupil’s</w:t>
      </w:r>
      <w:r w:rsidRPr="37D35C3F" w:rsidR="002E006D">
        <w:rPr>
          <w:color w:val="auto"/>
        </w:rPr>
        <w:t xml:space="preserve"> prescribed medication is available, staff know how to respond, emergency services can be contacted, and the activity can proceed safely. If safe emergency arrangements cannot be put in place, the visit arrangements should be reviewed and reasonable adjustments considered before a decision is made.</w:t>
      </w:r>
    </w:p>
    <w:p w:rsidR="00D44243" w:rsidP="37D35C3F" w:rsidRDefault="00D44243" w14:paraId="70529073" w14:textId="13060233">
      <w:pPr>
        <w:rPr>
          <w:color w:val="auto"/>
        </w:rPr>
      </w:pPr>
      <w:r w:rsidRPr="37D35C3F" w:rsidR="00D44243">
        <w:rPr>
          <w:color w:val="auto"/>
        </w:rPr>
        <w:t>Pupils will not be excluded from visits, clubs or school activities because of allergy unless, after individual assessment and consideration of reasonable adjustments, the risk cannot be managed safely.</w:t>
      </w:r>
    </w:p>
    <w:p w:rsidRPr="00775D4E" w:rsidR="00AB66DB" w:rsidP="37D35C3F" w:rsidRDefault="00D03085" w14:paraId="00E50259" w14:textId="5DBEED62">
      <w:pPr>
        <w:pStyle w:val="Heading1"/>
        <w:spacing w:line="360" w:lineRule="auto"/>
        <w:rPr>
          <w:color w:val="auto"/>
        </w:rPr>
      </w:pPr>
      <w:r w:rsidRPr="37D35C3F" w:rsidR="00D03085">
        <w:rPr>
          <w:rFonts w:ascii="Arial" w:hAnsi="Arial" w:eastAsia="Arial"/>
          <w:color w:val="auto"/>
        </w:rPr>
        <w:t>1</w:t>
      </w:r>
      <w:r w:rsidRPr="37D35C3F" w:rsidR="006A576E">
        <w:rPr>
          <w:rFonts w:ascii="Arial" w:hAnsi="Arial" w:eastAsia="Arial"/>
          <w:color w:val="auto"/>
        </w:rPr>
        <w:t>5</w:t>
      </w:r>
      <w:r w:rsidRPr="37D35C3F" w:rsidR="00D03085">
        <w:rPr>
          <w:rFonts w:ascii="Arial" w:hAnsi="Arial" w:eastAsia="Arial"/>
          <w:color w:val="auto"/>
        </w:rPr>
        <w:t>. Allergy awareness, nut bans and allergen restrictions</w:t>
      </w:r>
    </w:p>
    <w:p w:rsidR="00CF0AFC" w:rsidP="37D35C3F" w:rsidRDefault="00CF0AFC" w14:paraId="774B00B2" w14:textId="77777777">
      <w:pPr>
        <w:rPr>
          <w:color w:val="auto"/>
        </w:rPr>
      </w:pPr>
      <w:r w:rsidRPr="37D35C3F" w:rsidR="00CF0AFC">
        <w:rPr>
          <w:color w:val="auto"/>
        </w:rPr>
        <w:t xml:space="preserve">The school </w:t>
      </w:r>
      <w:r w:rsidRPr="37D35C3F" w:rsidR="00CF0AFC">
        <w:rPr>
          <w:color w:val="auto"/>
        </w:rPr>
        <w:t>recognises</w:t>
      </w:r>
      <w:r w:rsidRPr="37D35C3F" w:rsidR="00CF0AFC">
        <w:rPr>
          <w:color w:val="auto"/>
        </w:rPr>
        <w:t xml:space="preserve"> that it cannot guarantee a completely allergen-free environment. The school will adopt a whole-school allergy awareness approach, supported by proportionate risk assessment, clear communication and suitable emergency response arrangements.</w:t>
      </w:r>
    </w:p>
    <w:p w:rsidR="00CF0AFC" w:rsidP="37D35C3F" w:rsidRDefault="00CF0AFC" w14:paraId="668C609A" w14:textId="77777777">
      <w:pPr>
        <w:rPr>
          <w:color w:val="auto"/>
        </w:rPr>
      </w:pPr>
      <w:r w:rsidRPr="37D35C3F" w:rsidR="00CF0AFC">
        <w:rPr>
          <w:color w:val="auto"/>
        </w:rPr>
        <w:t>The school will not normally describe itself as allergen-free or rely only on blanket bans to manage allergy risks. Where specific allergen restrictions are needed, these will be based on individual need, risk assessment and clear communication with staff, pupils and parents/carers.</w:t>
      </w:r>
    </w:p>
    <w:p w:rsidR="00CF0AFC" w:rsidP="37D35C3F" w:rsidRDefault="00CF0AFC" w14:paraId="0E620DDB" w14:textId="150CF7B8">
      <w:pPr>
        <w:rPr>
          <w:color w:val="auto"/>
        </w:rPr>
      </w:pPr>
      <w:r w:rsidRPr="37D35C3F" w:rsidR="00CF0AFC">
        <w:rPr>
          <w:color w:val="auto"/>
        </w:rPr>
        <w:t>Any allergen restrictions will be reviewed regularly and following any relevant allergic reaction, significant near miss, change in pupil need or change in school arrangements.</w:t>
      </w:r>
    </w:p>
    <w:p w:rsidRPr="00775D4E" w:rsidR="00AB66DB" w:rsidP="37D35C3F" w:rsidRDefault="00D03085" w14:paraId="1CE8E82A" w14:textId="6FD69DE1">
      <w:pPr>
        <w:pStyle w:val="Heading1"/>
        <w:spacing w:before="240" w:line="360" w:lineRule="auto"/>
        <w:rPr>
          <w:color w:val="auto"/>
        </w:rPr>
      </w:pPr>
      <w:r w:rsidRPr="37D35C3F" w:rsidR="00D03085">
        <w:rPr>
          <w:rFonts w:ascii="Arial" w:hAnsi="Arial" w:eastAsia="Arial"/>
          <w:color w:val="auto"/>
        </w:rPr>
        <w:t>1</w:t>
      </w:r>
      <w:r w:rsidRPr="37D35C3F" w:rsidR="006A576E">
        <w:rPr>
          <w:rFonts w:ascii="Arial" w:hAnsi="Arial" w:eastAsia="Arial"/>
          <w:color w:val="auto"/>
        </w:rPr>
        <w:t>6</w:t>
      </w:r>
      <w:r w:rsidRPr="37D35C3F" w:rsidR="00D03085">
        <w:rPr>
          <w:rFonts w:ascii="Arial" w:hAnsi="Arial" w:eastAsia="Arial"/>
          <w:color w:val="auto"/>
        </w:rPr>
        <w:t>. Inclusion, equality, safeguarding and bullying</w:t>
      </w:r>
    </w:p>
    <w:p w:rsidR="00EB1180" w:rsidP="37D35C3F" w:rsidRDefault="00EB1180" w14:paraId="52E8EAB7" w14:textId="77777777">
      <w:pPr>
        <w:rPr>
          <w:color w:val="auto"/>
        </w:rPr>
      </w:pPr>
      <w:r w:rsidRPr="37D35C3F" w:rsidR="00EB1180">
        <w:rPr>
          <w:color w:val="auto"/>
        </w:rPr>
        <w:t xml:space="preserve">The school will support pupils with allergies to participate in school life as fully and safely as possible. Reasonable adjustments will be considered where a pupil’s allergy affects their </w:t>
      </w:r>
      <w:r w:rsidRPr="37D35C3F" w:rsidR="00EB1180">
        <w:rPr>
          <w:color w:val="auto"/>
        </w:rPr>
        <w:t>ability to access learning, activities, visits, clubs, catering arrangements or wider school opportunities.</w:t>
      </w:r>
    </w:p>
    <w:p w:rsidR="00EB1180" w:rsidP="37D35C3F" w:rsidRDefault="00EB1180" w14:paraId="178C5A48" w14:textId="77777777">
      <w:pPr>
        <w:rPr>
          <w:color w:val="auto"/>
        </w:rPr>
      </w:pPr>
      <w:r w:rsidRPr="37D35C3F" w:rsidR="00EB1180">
        <w:rPr>
          <w:color w:val="auto"/>
        </w:rPr>
        <w:t>A severe allergy may amount to a disability under the Equality Act 2010. Where this applies, the school will consider reasonable adjustments in line with its equality, accessibility and SEND arrangements.</w:t>
      </w:r>
    </w:p>
    <w:p w:rsidR="00EB1180" w:rsidP="37D35C3F" w:rsidRDefault="00EB1180" w14:paraId="32F3F399" w14:textId="77777777">
      <w:pPr>
        <w:rPr>
          <w:color w:val="auto"/>
        </w:rPr>
      </w:pPr>
      <w:r w:rsidRPr="37D35C3F" w:rsidR="00EB1180">
        <w:rPr>
          <w:color w:val="auto"/>
        </w:rPr>
        <w:t xml:space="preserve">Allergy-related bullying, teasing, unsafe </w:t>
      </w:r>
      <w:r w:rsidRPr="37D35C3F" w:rsidR="00EB1180">
        <w:rPr>
          <w:color w:val="auto"/>
        </w:rPr>
        <w:t>behaviour</w:t>
      </w:r>
      <w:r w:rsidRPr="37D35C3F" w:rsidR="00EB1180">
        <w:rPr>
          <w:color w:val="auto"/>
        </w:rPr>
        <w:t xml:space="preserve"> or deliberate exposure to a known allergen will be treated seriously and managed in line with the school’s </w:t>
      </w:r>
      <w:r w:rsidRPr="37D35C3F" w:rsidR="00EB1180">
        <w:rPr>
          <w:color w:val="auto"/>
        </w:rPr>
        <w:t>behaviour</w:t>
      </w:r>
      <w:r w:rsidRPr="37D35C3F" w:rsidR="00EB1180">
        <w:rPr>
          <w:color w:val="auto"/>
        </w:rPr>
        <w:t>, anti-bullying and safeguarding procedures.</w:t>
      </w:r>
    </w:p>
    <w:p w:rsidR="00EB1180" w:rsidP="37D35C3F" w:rsidRDefault="00EB1180" w14:paraId="30438F26" w14:textId="77777777">
      <w:pPr>
        <w:rPr>
          <w:color w:val="auto"/>
        </w:rPr>
      </w:pPr>
      <w:r w:rsidRPr="37D35C3F" w:rsidR="00EB1180">
        <w:rPr>
          <w:color w:val="auto"/>
        </w:rPr>
        <w:t xml:space="preserve">Staff will promote respectful awareness of allergies and will support pupils to understand how they can help keep others safe, without </w:t>
      </w:r>
      <w:r w:rsidRPr="37D35C3F" w:rsidR="00EB1180">
        <w:rPr>
          <w:color w:val="auto"/>
        </w:rPr>
        <w:t>singling</w:t>
      </w:r>
      <w:r w:rsidRPr="37D35C3F" w:rsidR="00EB1180">
        <w:rPr>
          <w:color w:val="auto"/>
        </w:rPr>
        <w:t xml:space="preserve"> out or unnecessarily excluding pupils with allergies.</w:t>
      </w:r>
    </w:p>
    <w:p w:rsidR="00EB1180" w:rsidP="37D35C3F" w:rsidRDefault="00EB1180" w14:paraId="6C4CCF22" w14:textId="2581AFE1">
      <w:pPr>
        <w:rPr>
          <w:color w:val="auto"/>
        </w:rPr>
      </w:pPr>
      <w:r w:rsidRPr="37D35C3F" w:rsidR="00EB1180">
        <w:rPr>
          <w:color w:val="auto"/>
        </w:rPr>
        <w:t>Safeguarding concerns will be considered where a pupil is repeatedly placed at risk because essential allergy information, medication or equipment is not provided, or where there are wider concerns that a pupil’s health needs are not being met.</w:t>
      </w:r>
    </w:p>
    <w:p w:rsidRPr="00775D4E" w:rsidR="00F260A2" w:rsidP="37D35C3F" w:rsidRDefault="00F260A2" w14:paraId="796573AE" w14:textId="0FBB931B">
      <w:pPr>
        <w:pStyle w:val="Heading1"/>
        <w:spacing w:before="240" w:line="360" w:lineRule="auto"/>
        <w:rPr>
          <w:color w:val="auto"/>
        </w:rPr>
      </w:pPr>
      <w:r w:rsidRPr="37D35C3F" w:rsidR="00F260A2">
        <w:rPr>
          <w:rFonts w:ascii="Arial" w:hAnsi="Arial" w:eastAsia="Arial"/>
          <w:color w:val="auto"/>
        </w:rPr>
        <w:t>1</w:t>
      </w:r>
      <w:r w:rsidRPr="37D35C3F" w:rsidR="00F260A2">
        <w:rPr>
          <w:rFonts w:ascii="Arial" w:hAnsi="Arial" w:eastAsia="Arial"/>
          <w:color w:val="auto"/>
        </w:rPr>
        <w:t>7</w:t>
      </w:r>
      <w:r w:rsidRPr="37D35C3F" w:rsidR="00F260A2">
        <w:rPr>
          <w:rFonts w:ascii="Arial" w:hAnsi="Arial" w:eastAsia="Arial"/>
          <w:color w:val="auto"/>
        </w:rPr>
        <w:t xml:space="preserve">. </w:t>
      </w:r>
      <w:r w:rsidRPr="37D35C3F" w:rsidR="00F260A2">
        <w:rPr>
          <w:rFonts w:ascii="Arial" w:hAnsi="Arial" w:eastAsia="Arial"/>
          <w:color w:val="auto"/>
        </w:rPr>
        <w:t>W</w:t>
      </w:r>
      <w:r w:rsidRPr="37D35C3F" w:rsidR="00D14F3F">
        <w:rPr>
          <w:rFonts w:ascii="Arial" w:hAnsi="Arial" w:eastAsia="Arial"/>
          <w:color w:val="auto"/>
        </w:rPr>
        <w:t>ellbeing</w:t>
      </w:r>
    </w:p>
    <w:p w:rsidR="00C001D2" w:rsidP="37D35C3F" w:rsidRDefault="00C001D2" w14:paraId="05D94ED0" w14:textId="08129D7C">
      <w:pPr>
        <w:rPr>
          <w:color w:val="auto"/>
        </w:rPr>
      </w:pPr>
      <w:r w:rsidRPr="37D35C3F" w:rsidR="00C001D2">
        <w:rPr>
          <w:color w:val="auto"/>
        </w:rPr>
        <w:t xml:space="preserve">The school </w:t>
      </w:r>
      <w:r w:rsidRPr="37D35C3F" w:rsidR="00C001D2">
        <w:rPr>
          <w:color w:val="auto"/>
        </w:rPr>
        <w:t>recognises</w:t>
      </w:r>
      <w:r w:rsidRPr="37D35C3F" w:rsidR="00C001D2">
        <w:rPr>
          <w:color w:val="auto"/>
        </w:rPr>
        <w:t xml:space="preserve"> that living with allergies can affect a pupil’s wellbeing, confidence and participation in school life.</w:t>
      </w:r>
    </w:p>
    <w:p w:rsidR="00C001D2" w:rsidP="37D35C3F" w:rsidRDefault="00C001D2" w14:paraId="36100983" w14:textId="77777777">
      <w:pPr>
        <w:rPr>
          <w:color w:val="auto"/>
        </w:rPr>
      </w:pPr>
      <w:r w:rsidRPr="37D35C3F" w:rsidR="00C001D2">
        <w:rPr>
          <w:color w:val="auto"/>
        </w:rPr>
        <w:t>The school will support pupils with allergies by:</w:t>
      </w:r>
    </w:p>
    <w:p w:rsidR="00C001D2" w:rsidP="37D35C3F" w:rsidRDefault="00C001D2" w14:paraId="469C2253" w14:textId="51799EF4">
      <w:pPr>
        <w:pStyle w:val="ListParagraph"/>
        <w:numPr>
          <w:ilvl w:val="0"/>
          <w:numId w:val="19"/>
        </w:numPr>
        <w:rPr>
          <w:color w:val="auto"/>
        </w:rPr>
      </w:pPr>
      <w:r w:rsidRPr="37D35C3F" w:rsidR="00C001D2">
        <w:rPr>
          <w:color w:val="auto"/>
        </w:rPr>
        <w:t>promoting a supportive and inclusive environment</w:t>
      </w:r>
    </w:p>
    <w:p w:rsidR="00C001D2" w:rsidP="37D35C3F" w:rsidRDefault="00C001D2" w14:paraId="6EDDAABB" w14:textId="56928E1C">
      <w:pPr>
        <w:pStyle w:val="ListParagraph"/>
        <w:numPr>
          <w:ilvl w:val="0"/>
          <w:numId w:val="19"/>
        </w:numPr>
        <w:rPr>
          <w:color w:val="auto"/>
        </w:rPr>
      </w:pPr>
      <w:r w:rsidRPr="37D35C3F" w:rsidR="00C001D2">
        <w:rPr>
          <w:color w:val="auto"/>
        </w:rPr>
        <w:t>treating pupils with allergies with dignity and respect</w:t>
      </w:r>
    </w:p>
    <w:p w:rsidR="00C001D2" w:rsidP="37D35C3F" w:rsidRDefault="00C001D2" w14:paraId="48EBCD4E" w14:textId="0BBA3E66">
      <w:pPr>
        <w:pStyle w:val="ListParagraph"/>
        <w:numPr>
          <w:ilvl w:val="0"/>
          <w:numId w:val="19"/>
        </w:numPr>
        <w:rPr>
          <w:color w:val="auto"/>
        </w:rPr>
      </w:pPr>
      <w:r w:rsidRPr="37D35C3F" w:rsidR="00C001D2">
        <w:rPr>
          <w:color w:val="auto"/>
        </w:rPr>
        <w:t>taking reasonable steps to reduce unnecessary isolation, exclusion or anxiety linked to allergy management</w:t>
      </w:r>
    </w:p>
    <w:p w:rsidR="00C001D2" w:rsidP="37D35C3F" w:rsidRDefault="00C001D2" w14:paraId="19300F77" w14:textId="6D0ED0DC">
      <w:pPr>
        <w:pStyle w:val="ListParagraph"/>
        <w:numPr>
          <w:ilvl w:val="0"/>
          <w:numId w:val="19"/>
        </w:numPr>
        <w:rPr>
          <w:color w:val="auto"/>
        </w:rPr>
      </w:pPr>
      <w:r w:rsidRPr="37D35C3F" w:rsidR="00C001D2">
        <w:rPr>
          <w:color w:val="auto"/>
        </w:rPr>
        <w:t>supporting participation in school activities wherever this can be achieved safely</w:t>
      </w:r>
    </w:p>
    <w:p w:rsidR="00C001D2" w:rsidP="37D35C3F" w:rsidRDefault="00C001D2" w14:paraId="63CE11CF" w14:textId="3AC1B8B5">
      <w:pPr>
        <w:pStyle w:val="ListParagraph"/>
        <w:numPr>
          <w:ilvl w:val="0"/>
          <w:numId w:val="19"/>
        </w:numPr>
        <w:rPr>
          <w:color w:val="auto"/>
        </w:rPr>
      </w:pPr>
      <w:r w:rsidRPr="37D35C3F" w:rsidR="00C001D2">
        <w:rPr>
          <w:color w:val="auto"/>
        </w:rPr>
        <w:t>working with parents/carers and pupils, where appropriate, to respond to concerns about allergy arrangements</w:t>
      </w:r>
    </w:p>
    <w:p w:rsidR="00C001D2" w:rsidP="37D35C3F" w:rsidRDefault="00C001D2" w14:paraId="738E1A46" w14:textId="37198062">
      <w:pPr>
        <w:pStyle w:val="ListParagraph"/>
        <w:numPr>
          <w:ilvl w:val="0"/>
          <w:numId w:val="19"/>
        </w:numPr>
        <w:rPr>
          <w:color w:val="auto"/>
        </w:rPr>
      </w:pPr>
      <w:r w:rsidRPr="37D35C3F" w:rsidR="00C001D2">
        <w:rPr>
          <w:color w:val="auto"/>
        </w:rPr>
        <w:t xml:space="preserve">taking appropriate action where allergy-related bullying, teasing or unsafe </w:t>
      </w:r>
      <w:r w:rsidRPr="37D35C3F" w:rsidR="00C001D2">
        <w:rPr>
          <w:color w:val="auto"/>
        </w:rPr>
        <w:t>behaviour</w:t>
      </w:r>
      <w:r w:rsidRPr="37D35C3F" w:rsidR="00C001D2">
        <w:rPr>
          <w:color w:val="auto"/>
        </w:rPr>
        <w:t xml:space="preserve"> is identified.</w:t>
      </w:r>
    </w:p>
    <w:p w:rsidR="00060772" w:rsidP="37D35C3F" w:rsidRDefault="00C001D2" w14:paraId="2FAFF156" w14:textId="74F7F9F3">
      <w:pPr>
        <w:rPr>
          <w:color w:val="auto"/>
        </w:rPr>
      </w:pPr>
      <w:r w:rsidRPr="37D35C3F" w:rsidR="00C001D2">
        <w:rPr>
          <w:color w:val="auto"/>
        </w:rPr>
        <w:t>Where a serious allergic reaction or significant near miss occurs, the school will consider whether the pupil, and others affected, need reassurance, support or adjustments before returning to normal school activities.</w:t>
      </w:r>
    </w:p>
    <w:p w:rsidRPr="00775D4E" w:rsidR="00AB66DB" w:rsidP="37D35C3F" w:rsidRDefault="00D03085" w14:paraId="6A5442C4" w14:textId="4C9C7B8B">
      <w:pPr>
        <w:pStyle w:val="Heading1"/>
        <w:spacing w:before="240" w:line="360" w:lineRule="auto"/>
        <w:rPr>
          <w:color w:val="auto"/>
        </w:rPr>
      </w:pPr>
      <w:r w:rsidRPr="37D35C3F" w:rsidR="00D03085">
        <w:rPr>
          <w:rFonts w:ascii="Arial" w:hAnsi="Arial" w:eastAsia="Arial"/>
          <w:color w:val="auto"/>
        </w:rPr>
        <w:t>1</w:t>
      </w:r>
      <w:r w:rsidRPr="37D35C3F" w:rsidR="00D14F3F">
        <w:rPr>
          <w:rFonts w:ascii="Arial" w:hAnsi="Arial" w:eastAsia="Arial"/>
          <w:color w:val="auto"/>
        </w:rPr>
        <w:t>8</w:t>
      </w:r>
      <w:r w:rsidRPr="37D35C3F" w:rsidR="00D03085">
        <w:rPr>
          <w:rFonts w:ascii="Arial" w:hAnsi="Arial" w:eastAsia="Arial"/>
          <w:color w:val="auto"/>
        </w:rPr>
        <w:t>. Incident reporting, near misses and learning</w:t>
      </w:r>
    </w:p>
    <w:p w:rsidR="00D624FE" w:rsidP="37D35C3F" w:rsidRDefault="00D624FE" w14:paraId="31713D54" w14:textId="77777777">
      <w:pPr>
        <w:rPr>
          <w:color w:val="auto"/>
        </w:rPr>
      </w:pPr>
      <w:r w:rsidRPr="37D35C3F" w:rsidR="00D624FE">
        <w:rPr>
          <w:color w:val="auto"/>
        </w:rPr>
        <w:t>The school will record allergic reactions, suspected anaphylaxis, use of adrenaline auto-injectors, medication errors, catering errors, near misses and other allergy-related concerns.</w:t>
      </w:r>
    </w:p>
    <w:p w:rsidR="00D624FE" w:rsidP="37D35C3F" w:rsidRDefault="00D624FE" w14:paraId="29AAA111" w14:textId="77777777">
      <w:pPr>
        <w:rPr>
          <w:color w:val="auto"/>
        </w:rPr>
      </w:pPr>
      <w:r w:rsidRPr="37D35C3F" w:rsidR="00D624FE">
        <w:rPr>
          <w:color w:val="auto"/>
        </w:rPr>
        <w:t>Parents/carers will be informed as soon as practicable where their child has experienced an allergic reaction, suspected anaphylaxis, use of emergency medication or a significant allergy-related near miss.</w:t>
      </w:r>
    </w:p>
    <w:p w:rsidR="00575B1D" w:rsidP="37D35C3F" w:rsidRDefault="00575B1D" w14:paraId="0AF57C08" w14:textId="77777777">
      <w:pPr>
        <w:rPr>
          <w:color w:val="auto"/>
        </w:rPr>
      </w:pPr>
      <w:r w:rsidRPr="37D35C3F" w:rsidR="00575B1D">
        <w:rPr>
          <w:color w:val="auto"/>
        </w:rPr>
        <w:t>The school will ensure that pupils, parents/carers and, where relevant, healthcare professionals can report allergy-related incidents or near misses, including concerns identified after the end of the school day where exposure to the allergen could reasonably have occurred at school or during a school-arranged activity.</w:t>
      </w:r>
    </w:p>
    <w:p w:rsidR="00D624FE" w:rsidP="37D35C3F" w:rsidRDefault="00D624FE" w14:paraId="14A844FC" w14:textId="433CB4EB">
      <w:pPr>
        <w:rPr>
          <w:color w:val="auto"/>
        </w:rPr>
      </w:pPr>
      <w:r w:rsidRPr="37D35C3F" w:rsidR="00D624FE">
        <w:rPr>
          <w:color w:val="auto"/>
        </w:rPr>
        <w:t>Allergy-related incidents and near misses will be reviewed by the named allergy and anaphylaxis lead, or another appropriate member of staff, and reported to the headteacher or principal where appropriate. Significant incidents will be shared with governors or trustees in line with the school’s reporting arrangements.</w:t>
      </w:r>
    </w:p>
    <w:p w:rsidR="00D624FE" w:rsidP="37D35C3F" w:rsidRDefault="00D624FE" w14:paraId="2AFC18B8" w14:textId="77777777">
      <w:pPr>
        <w:rPr>
          <w:color w:val="auto"/>
        </w:rPr>
      </w:pPr>
      <w:r w:rsidRPr="37D35C3F" w:rsidR="00D624FE">
        <w:rPr>
          <w:color w:val="auto"/>
        </w:rPr>
        <w:t xml:space="preserve">The review will </w:t>
      </w:r>
      <w:r w:rsidRPr="37D35C3F" w:rsidR="00D624FE">
        <w:rPr>
          <w:color w:val="auto"/>
        </w:rPr>
        <w:t>consider,</w:t>
      </w:r>
      <w:r w:rsidRPr="37D35C3F" w:rsidR="00D624FE">
        <w:rPr>
          <w:color w:val="auto"/>
        </w:rPr>
        <w:t xml:space="preserve"> where relevant:</w:t>
      </w:r>
    </w:p>
    <w:p w:rsidR="00D624FE" w:rsidP="37D35C3F" w:rsidRDefault="00D624FE" w14:paraId="3E48C1F6" w14:textId="5653E6E2">
      <w:pPr>
        <w:pStyle w:val="ListParagraph"/>
        <w:numPr>
          <w:ilvl w:val="0"/>
          <w:numId w:val="20"/>
        </w:numPr>
        <w:rPr>
          <w:color w:val="auto"/>
        </w:rPr>
      </w:pPr>
      <w:r w:rsidRPr="37D35C3F" w:rsidR="00D624FE">
        <w:rPr>
          <w:color w:val="auto"/>
        </w:rPr>
        <w:t>what happened and where</w:t>
      </w:r>
    </w:p>
    <w:p w:rsidR="00D624FE" w:rsidP="37D35C3F" w:rsidRDefault="00D624FE" w14:paraId="0845DD93" w14:textId="62BCA2F3">
      <w:pPr>
        <w:pStyle w:val="ListParagraph"/>
        <w:numPr>
          <w:ilvl w:val="0"/>
          <w:numId w:val="20"/>
        </w:numPr>
        <w:rPr>
          <w:color w:val="auto"/>
        </w:rPr>
      </w:pPr>
      <w:r w:rsidRPr="37D35C3F" w:rsidR="00D624FE">
        <w:rPr>
          <w:color w:val="auto"/>
        </w:rPr>
        <w:t>whether the pupil’s Allergy Action Plan, Individual Healthcare Plan or Individual Allergy Risk Assessment was followed</w:t>
      </w:r>
    </w:p>
    <w:p w:rsidR="00D624FE" w:rsidP="37D35C3F" w:rsidRDefault="00D624FE" w14:paraId="7B5216C2" w14:textId="4DC76AAA">
      <w:pPr>
        <w:pStyle w:val="ListParagraph"/>
        <w:numPr>
          <w:ilvl w:val="0"/>
          <w:numId w:val="20"/>
        </w:numPr>
        <w:rPr>
          <w:color w:val="auto"/>
        </w:rPr>
      </w:pPr>
      <w:r w:rsidRPr="37D35C3F" w:rsidR="00D624FE">
        <w:rPr>
          <w:color w:val="auto"/>
        </w:rPr>
        <w:t>whether medication was available and accessible without delay</w:t>
      </w:r>
    </w:p>
    <w:p w:rsidR="00D624FE" w:rsidP="37D35C3F" w:rsidRDefault="00D624FE" w14:paraId="173FFFD3" w14:textId="2D76972E">
      <w:pPr>
        <w:pStyle w:val="ListParagraph"/>
        <w:numPr>
          <w:ilvl w:val="0"/>
          <w:numId w:val="20"/>
        </w:numPr>
        <w:rPr>
          <w:color w:val="auto"/>
        </w:rPr>
      </w:pPr>
      <w:r w:rsidRPr="37D35C3F" w:rsidR="00D624FE">
        <w:rPr>
          <w:color w:val="auto"/>
        </w:rPr>
        <w:t>whether staff responded promptly and effectively</w:t>
      </w:r>
    </w:p>
    <w:p w:rsidR="00D624FE" w:rsidP="37D35C3F" w:rsidRDefault="00D624FE" w14:paraId="0D45F222" w14:textId="1733D5F6">
      <w:pPr>
        <w:pStyle w:val="ListParagraph"/>
        <w:numPr>
          <w:ilvl w:val="0"/>
          <w:numId w:val="20"/>
        </w:numPr>
        <w:rPr>
          <w:color w:val="auto"/>
        </w:rPr>
      </w:pPr>
      <w:r w:rsidRPr="37D35C3F" w:rsidR="00D624FE">
        <w:rPr>
          <w:color w:val="auto"/>
        </w:rPr>
        <w:t>whether communication arrangements worked</w:t>
      </w:r>
    </w:p>
    <w:p w:rsidR="00D624FE" w:rsidP="37D35C3F" w:rsidRDefault="00D624FE" w14:paraId="4F66C9D5" w14:textId="3DD9FCD1">
      <w:pPr>
        <w:pStyle w:val="ListParagraph"/>
        <w:numPr>
          <w:ilvl w:val="0"/>
          <w:numId w:val="20"/>
        </w:numPr>
        <w:rPr>
          <w:color w:val="auto"/>
        </w:rPr>
      </w:pPr>
      <w:r w:rsidRPr="37D35C3F" w:rsidR="00D624FE">
        <w:rPr>
          <w:color w:val="auto"/>
        </w:rPr>
        <w:t>whether catering, activity, supervision or visit arrangements need to change</w:t>
      </w:r>
    </w:p>
    <w:p w:rsidR="00D624FE" w:rsidP="37D35C3F" w:rsidRDefault="00D624FE" w14:paraId="3559D529" w14:textId="6E0A987C">
      <w:pPr>
        <w:pStyle w:val="ListParagraph"/>
        <w:numPr>
          <w:ilvl w:val="0"/>
          <w:numId w:val="20"/>
        </w:numPr>
        <w:rPr>
          <w:color w:val="auto"/>
        </w:rPr>
      </w:pPr>
      <w:r w:rsidRPr="37D35C3F" w:rsidR="00D624FE">
        <w:rPr>
          <w:color w:val="auto"/>
        </w:rPr>
        <w:t>whether further staff training or parent/carer communication is required</w:t>
      </w:r>
    </w:p>
    <w:p w:rsidR="00D624FE" w:rsidP="37D35C3F" w:rsidRDefault="00D624FE" w14:paraId="52534522" w14:textId="3F683A89">
      <w:pPr>
        <w:pStyle w:val="ListParagraph"/>
        <w:numPr>
          <w:ilvl w:val="0"/>
          <w:numId w:val="20"/>
        </w:numPr>
        <w:rPr>
          <w:color w:val="auto"/>
        </w:rPr>
      </w:pPr>
      <w:r w:rsidRPr="37D35C3F" w:rsidR="00D624FE">
        <w:rPr>
          <w:color w:val="auto"/>
        </w:rPr>
        <w:t>whether</w:t>
      </w:r>
      <w:r w:rsidRPr="37D35C3F" w:rsidR="00D624FE">
        <w:rPr>
          <w:color w:val="auto"/>
        </w:rPr>
        <w:t xml:space="preserve"> individual plans, risk assessments or this policy need to be reviewed.</w:t>
      </w:r>
    </w:p>
    <w:p w:rsidRPr="008328D8" w:rsidR="008328D8" w:rsidP="008328D8" w:rsidRDefault="008328D8" w14:paraId="43AF4142" w14:textId="77777777">
      <w:pPr>
        <w:pStyle w:val="Heading1"/>
        <w:spacing w:before="240" w:line="360" w:lineRule="auto"/>
        <w:rPr>
          <w:rFonts w:ascii="Arial" w:hAnsi="Arial" w:eastAsia="Arial" w:cstheme="minorBidi"/>
          <w:b w:val="0"/>
          <w:bCs w:val="0"/>
          <w:color w:val="auto"/>
          <w:szCs w:val="22"/>
        </w:rPr>
      </w:pPr>
      <w:r w:rsidRPr="008328D8">
        <w:rPr>
          <w:rFonts w:ascii="Arial" w:hAnsi="Arial" w:eastAsia="Arial" w:cstheme="minorBidi"/>
          <w:b w:val="0"/>
          <w:bCs w:val="0"/>
          <w:color w:val="auto"/>
          <w:szCs w:val="22"/>
        </w:rPr>
        <w:lastRenderedPageBreak/>
        <w:t>Learning from incidents and near misses will be used to improve allergy safety arrangements. Reporting under the Reporting of Injuries, Diseases and Dangerous Occurrences Regulations 2013 (RIDDOR), food safety reporting, safeguarding action, healthcare professional advice or notification to the employer will be considered where relevant.</w:t>
      </w:r>
    </w:p>
    <w:p w:rsidR="008328D8" w:rsidP="37D35C3F" w:rsidRDefault="008328D8" w14:paraId="681D269F" w14:textId="77777777">
      <w:pPr>
        <w:pStyle w:val="Heading1"/>
        <w:spacing w:before="240" w:line="360" w:lineRule="auto"/>
        <w:rPr>
          <w:rFonts w:ascii="Arial" w:hAnsi="Arial" w:eastAsia="Arial" w:cs="Arial" w:cstheme="minorBidi"/>
          <w:b w:val="0"/>
          <w:bCs w:val="0"/>
          <w:color w:val="auto"/>
        </w:rPr>
      </w:pPr>
      <w:r w:rsidRPr="37D35C3F" w:rsidR="008328D8">
        <w:rPr>
          <w:rFonts w:ascii="Arial" w:hAnsi="Arial" w:eastAsia="Arial" w:cs="Arial" w:cstheme="minorBidi"/>
          <w:b w:val="0"/>
          <w:bCs w:val="0"/>
          <w:color w:val="auto"/>
        </w:rPr>
        <w:t xml:space="preserve">The school should seek advice from Derbyshire County Council Health, Safety and Wellbeing, or the employer’s competent health and safety adviser, where there is uncertainty about whether an allergy-related incident is reportable under RIDDOR. A report may need to be considered where the incident arises out of, or in connection with, </w:t>
      </w:r>
      <w:r w:rsidRPr="37D35C3F" w:rsidR="008328D8">
        <w:rPr>
          <w:rFonts w:ascii="Arial" w:hAnsi="Arial" w:eastAsia="Arial" w:cs="Arial" w:cstheme="minorBidi"/>
          <w:b w:val="0"/>
          <w:bCs w:val="0"/>
          <w:color w:val="auto"/>
        </w:rPr>
        <w:t>school work</w:t>
      </w:r>
      <w:r w:rsidRPr="37D35C3F" w:rsidR="008328D8">
        <w:rPr>
          <w:rFonts w:ascii="Arial" w:hAnsi="Arial" w:eastAsia="Arial" w:cs="Arial" w:cstheme="minorBidi"/>
          <w:b w:val="0"/>
          <w:bCs w:val="0"/>
          <w:color w:val="auto"/>
        </w:rPr>
        <w:t xml:space="preserve"> activities and results in a reportable injury, dangerous occurrence or other reportable outcome. Not every allergic reaction, administration of adrenaline or use of an AAI will be reportable under RIDDOR.</w:t>
      </w:r>
    </w:p>
    <w:p w:rsidRPr="00775D4E" w:rsidR="00AB66DB" w:rsidP="37D35C3F" w:rsidRDefault="00D03085" w14:paraId="1BCE2ABE" w14:textId="250912A6">
      <w:pPr>
        <w:pStyle w:val="Heading1"/>
        <w:spacing w:before="240" w:line="360" w:lineRule="auto"/>
        <w:rPr>
          <w:color w:val="auto"/>
        </w:rPr>
      </w:pPr>
      <w:r w:rsidRPr="37D35C3F" w:rsidR="00D03085">
        <w:rPr>
          <w:rFonts w:ascii="Arial" w:hAnsi="Arial" w:eastAsia="Arial"/>
          <w:color w:val="auto"/>
        </w:rPr>
        <w:t>1</w:t>
      </w:r>
      <w:r w:rsidRPr="37D35C3F" w:rsidR="00D14F3F">
        <w:rPr>
          <w:rFonts w:ascii="Arial" w:hAnsi="Arial" w:eastAsia="Arial"/>
          <w:color w:val="auto"/>
        </w:rPr>
        <w:t>9</w:t>
      </w:r>
      <w:r w:rsidRPr="37D35C3F" w:rsidR="00D03085">
        <w:rPr>
          <w:rFonts w:ascii="Arial" w:hAnsi="Arial" w:eastAsia="Arial"/>
          <w:color w:val="auto"/>
        </w:rPr>
        <w:t>. Communication with parents, pupils and staff</w:t>
      </w:r>
    </w:p>
    <w:p w:rsidR="00593A6D" w:rsidP="37D35C3F" w:rsidRDefault="00593A6D" w14:paraId="3DAE26B9" w14:textId="77777777">
      <w:pPr>
        <w:rPr>
          <w:color w:val="auto"/>
        </w:rPr>
      </w:pPr>
      <w:r w:rsidRPr="37D35C3F" w:rsidR="00593A6D">
        <w:rPr>
          <w:color w:val="auto"/>
        </w:rPr>
        <w:t>The school will communicate allergy arrangements to staff, pupils and parents/carers in a way that is appropriate to the school’s local arrangements. This may include the school website, parent communications, staff briefings, induction, training, pupil assemblies, PSHE, catering information and individual meetings.</w:t>
      </w:r>
    </w:p>
    <w:p w:rsidR="00593A6D" w:rsidP="37D35C3F" w:rsidRDefault="00593A6D" w14:paraId="573728BD" w14:textId="77777777">
      <w:pPr>
        <w:rPr>
          <w:color w:val="auto"/>
        </w:rPr>
      </w:pPr>
      <w:r w:rsidRPr="37D35C3F" w:rsidR="00593A6D">
        <w:rPr>
          <w:color w:val="auto"/>
        </w:rPr>
        <w:t>The school will ensure this policy is published, accessible to staff and parents/carers, and brought to the attention of relevant staff at least annually.</w:t>
      </w:r>
    </w:p>
    <w:p w:rsidR="00593A6D" w:rsidP="37D35C3F" w:rsidRDefault="00593A6D" w14:paraId="229B4B58" w14:textId="77777777">
      <w:pPr>
        <w:rPr>
          <w:color w:val="auto"/>
        </w:rPr>
      </w:pPr>
      <w:r w:rsidRPr="37D35C3F" w:rsidR="00593A6D">
        <w:rPr>
          <w:color w:val="auto"/>
        </w:rPr>
        <w:t xml:space="preserve">Relevant information about pupils with allergies will be shared with staff who need it to keep pupils safe and support their participation in school life. Information will be shared in a controlled and proportionate way, taking account </w:t>
      </w:r>
      <w:r w:rsidRPr="37D35C3F" w:rsidR="00593A6D">
        <w:rPr>
          <w:color w:val="auto"/>
        </w:rPr>
        <w:t>of</w:t>
      </w:r>
      <w:r w:rsidRPr="37D35C3F" w:rsidR="00593A6D">
        <w:rPr>
          <w:color w:val="auto"/>
        </w:rPr>
        <w:t xml:space="preserve"> confidentiality and data protection requirements.</w:t>
      </w:r>
    </w:p>
    <w:p w:rsidR="00593A6D" w:rsidP="37D35C3F" w:rsidRDefault="00593A6D" w14:paraId="14A0A8C7" w14:textId="77777777">
      <w:pPr>
        <w:rPr>
          <w:color w:val="auto"/>
        </w:rPr>
      </w:pPr>
      <w:r w:rsidRPr="37D35C3F" w:rsidR="00593A6D">
        <w:rPr>
          <w:color w:val="auto"/>
        </w:rPr>
        <w:t>Parents/carers are responsible for providing accurate and timely information about their child’s allergy, medication, emergency arrangements and any changes. Parents/carers are also asked to support reasonable allergy safety arrangements communicated by the school.</w:t>
      </w:r>
    </w:p>
    <w:p w:rsidR="00593A6D" w:rsidP="37D35C3F" w:rsidRDefault="00593A6D" w14:paraId="31BB4893" w14:textId="6E55DDF2">
      <w:pPr>
        <w:rPr>
          <w:color w:val="auto"/>
        </w:rPr>
      </w:pPr>
      <w:r w:rsidRPr="37D35C3F" w:rsidR="00593A6D">
        <w:rPr>
          <w:color w:val="auto"/>
        </w:rPr>
        <w:t>Where appropriate, pupils will be supported to understand allergy safety arrangements, including how to seek help, how to act safely around pupils with allergies, and why food or medication should not be shared.</w:t>
      </w:r>
    </w:p>
    <w:p w:rsidRPr="00775D4E" w:rsidR="00AB66DB" w:rsidP="37D35C3F" w:rsidRDefault="00D14F3F" w14:paraId="1A05E6CE" w14:textId="1B31D620">
      <w:pPr>
        <w:pStyle w:val="Heading1"/>
        <w:spacing w:before="240" w:line="360" w:lineRule="auto"/>
        <w:rPr>
          <w:color w:val="auto"/>
        </w:rPr>
      </w:pPr>
      <w:r w:rsidRPr="37D35C3F" w:rsidR="00D14F3F">
        <w:rPr>
          <w:rFonts w:ascii="Arial" w:hAnsi="Arial" w:eastAsia="Arial"/>
          <w:color w:val="auto"/>
        </w:rPr>
        <w:t>20</w:t>
      </w:r>
      <w:r w:rsidRPr="37D35C3F" w:rsidR="00D03085">
        <w:rPr>
          <w:rFonts w:ascii="Arial" w:hAnsi="Arial" w:eastAsia="Arial"/>
          <w:color w:val="auto"/>
        </w:rPr>
        <w:t>. Monitoring and review</w:t>
      </w:r>
    </w:p>
    <w:p w:rsidRPr="009B33A4" w:rsidR="009B33A4" w:rsidP="37D35C3F" w:rsidRDefault="009B33A4" w14:paraId="2831E75B" w14:textId="66687752">
      <w:pPr>
        <w:rPr>
          <w:color w:val="auto"/>
          <w:lang w:val="en-GB"/>
        </w:rPr>
      </w:pPr>
      <w:r w:rsidRPr="37D35C3F" w:rsidR="009B33A4">
        <w:rPr>
          <w:color w:val="auto"/>
          <w:lang w:val="en-GB"/>
        </w:rPr>
        <w:t>T</w:t>
      </w:r>
      <w:r w:rsidRPr="37D35C3F" w:rsidR="009B33A4">
        <w:rPr>
          <w:color w:val="auto"/>
          <w:lang w:val="en-GB"/>
        </w:rPr>
        <w:t>his policy will be published, kept under review and reviewed at least annually. It will also be reviewed sooner where there is a serious allergic reaction, allergy-related serious incident, significant near miss, change in statutory requirements, national guidance or local allergy management arrangements.</w:t>
      </w:r>
    </w:p>
    <w:p w:rsidRPr="009B33A4" w:rsidR="009B33A4" w:rsidP="37D35C3F" w:rsidRDefault="009B33A4" w14:paraId="1F4672E1" w14:textId="77777777">
      <w:pPr>
        <w:rPr>
          <w:color w:val="auto"/>
          <w:lang w:val="en-GB"/>
        </w:rPr>
      </w:pPr>
      <w:r w:rsidRPr="37D35C3F" w:rsidR="009B33A4">
        <w:rPr>
          <w:color w:val="auto"/>
          <w:lang w:val="en-GB"/>
        </w:rPr>
        <w:t>The review will consider, where relevant:</w:t>
      </w:r>
    </w:p>
    <w:p w:rsidRPr="009B33A4" w:rsidR="009B33A4" w:rsidP="37D35C3F" w:rsidRDefault="009B33A4" w14:paraId="7FDFB308" w14:textId="7422FAD4">
      <w:pPr>
        <w:pStyle w:val="ListParagraph"/>
        <w:numPr>
          <w:ilvl w:val="0"/>
          <w:numId w:val="21"/>
        </w:numPr>
        <w:rPr>
          <w:color w:val="auto"/>
          <w:lang w:val="en-GB"/>
        </w:rPr>
      </w:pPr>
      <w:r w:rsidRPr="37D35C3F" w:rsidR="009B33A4">
        <w:rPr>
          <w:color w:val="auto"/>
          <w:lang w:val="en-GB"/>
        </w:rPr>
        <w:t>training records and refresher training</w:t>
      </w:r>
    </w:p>
    <w:p w:rsidRPr="009B33A4" w:rsidR="009B33A4" w:rsidP="37D35C3F" w:rsidRDefault="009B33A4" w14:paraId="43E44918" w14:textId="51F9CEE2">
      <w:pPr>
        <w:pStyle w:val="ListParagraph"/>
        <w:numPr>
          <w:ilvl w:val="0"/>
          <w:numId w:val="21"/>
        </w:numPr>
        <w:rPr>
          <w:color w:val="auto"/>
          <w:lang w:val="en-GB"/>
        </w:rPr>
      </w:pPr>
      <w:r w:rsidRPr="37D35C3F" w:rsidR="009B33A4">
        <w:rPr>
          <w:color w:val="auto"/>
          <w:lang w:val="en-GB"/>
        </w:rPr>
        <w:t>medication and spare AAI checks</w:t>
      </w:r>
    </w:p>
    <w:p w:rsidRPr="009B33A4" w:rsidR="009B33A4" w:rsidP="37D35C3F" w:rsidRDefault="009B33A4" w14:paraId="27D4FC0E" w14:textId="05BFFF69">
      <w:pPr>
        <w:pStyle w:val="ListParagraph"/>
        <w:numPr>
          <w:ilvl w:val="0"/>
          <w:numId w:val="21"/>
        </w:numPr>
        <w:rPr>
          <w:color w:val="auto"/>
          <w:lang w:val="en-GB"/>
        </w:rPr>
      </w:pPr>
      <w:r w:rsidRPr="37D35C3F" w:rsidR="009B33A4">
        <w:rPr>
          <w:color w:val="auto"/>
          <w:lang w:val="en-GB"/>
        </w:rPr>
        <w:t>allergy register arrangements</w:t>
      </w:r>
    </w:p>
    <w:p w:rsidRPr="009B33A4" w:rsidR="009B33A4" w:rsidP="37D35C3F" w:rsidRDefault="009B33A4" w14:paraId="30D672DD" w14:textId="4895DB04">
      <w:pPr>
        <w:pStyle w:val="ListParagraph"/>
        <w:numPr>
          <w:ilvl w:val="0"/>
          <w:numId w:val="21"/>
        </w:numPr>
        <w:rPr>
          <w:color w:val="auto"/>
          <w:lang w:val="en-GB"/>
        </w:rPr>
      </w:pPr>
      <w:r w:rsidRPr="37D35C3F" w:rsidR="009B33A4">
        <w:rPr>
          <w:color w:val="auto"/>
          <w:lang w:val="en-GB"/>
        </w:rPr>
        <w:t>incident and near miss learning</w:t>
      </w:r>
    </w:p>
    <w:p w:rsidRPr="009B33A4" w:rsidR="009B33A4" w:rsidP="37D35C3F" w:rsidRDefault="009B33A4" w14:paraId="2E015098" w14:textId="6FD52BBF">
      <w:pPr>
        <w:pStyle w:val="ListParagraph"/>
        <w:numPr>
          <w:ilvl w:val="0"/>
          <w:numId w:val="21"/>
        </w:numPr>
        <w:rPr>
          <w:color w:val="auto"/>
          <w:lang w:val="en-GB"/>
        </w:rPr>
      </w:pPr>
      <w:r w:rsidRPr="37D35C3F" w:rsidR="009B33A4">
        <w:rPr>
          <w:color w:val="auto"/>
          <w:lang w:val="en-GB"/>
        </w:rPr>
        <w:t>parent/carer, pupil or staff feedback</w:t>
      </w:r>
    </w:p>
    <w:p w:rsidRPr="009B33A4" w:rsidR="009B33A4" w:rsidP="37D35C3F" w:rsidRDefault="009B33A4" w14:paraId="037D9590" w14:textId="2DA89102">
      <w:pPr>
        <w:pStyle w:val="ListParagraph"/>
        <w:numPr>
          <w:ilvl w:val="0"/>
          <w:numId w:val="21"/>
        </w:numPr>
        <w:rPr>
          <w:color w:val="auto"/>
          <w:lang w:val="en-GB"/>
        </w:rPr>
      </w:pPr>
      <w:r w:rsidRPr="37D35C3F" w:rsidR="009B33A4">
        <w:rPr>
          <w:color w:val="auto"/>
          <w:lang w:val="en-GB"/>
        </w:rPr>
        <w:t>catering and food allergen arrangements</w:t>
      </w:r>
    </w:p>
    <w:p w:rsidRPr="009B33A4" w:rsidR="009B33A4" w:rsidP="37D35C3F" w:rsidRDefault="009B33A4" w14:paraId="03DF6D96" w14:textId="3E4BDBD1">
      <w:pPr>
        <w:pStyle w:val="ListParagraph"/>
        <w:numPr>
          <w:ilvl w:val="0"/>
          <w:numId w:val="21"/>
        </w:numPr>
        <w:rPr>
          <w:color w:val="auto"/>
          <w:lang w:val="en-GB"/>
        </w:rPr>
      </w:pPr>
      <w:r w:rsidRPr="37D35C3F" w:rsidR="009B33A4">
        <w:rPr>
          <w:color w:val="auto"/>
          <w:lang w:val="en-GB"/>
        </w:rPr>
        <w:t>educational visits, clubs and school activity arrangements</w:t>
      </w:r>
    </w:p>
    <w:p w:rsidRPr="009B33A4" w:rsidR="009B33A4" w:rsidP="37D35C3F" w:rsidRDefault="009B33A4" w14:paraId="2D7BD6C7" w14:textId="00593575">
      <w:pPr>
        <w:pStyle w:val="ListParagraph"/>
        <w:numPr>
          <w:ilvl w:val="0"/>
          <w:numId w:val="21"/>
        </w:numPr>
        <w:rPr>
          <w:color w:val="auto"/>
          <w:lang w:val="en-GB"/>
        </w:rPr>
      </w:pPr>
      <w:r w:rsidRPr="37D35C3F" w:rsidR="009B33A4">
        <w:rPr>
          <w:color w:val="auto"/>
          <w:lang w:val="en-GB"/>
        </w:rPr>
        <w:t>the effectiveness of Allergy Action Plans, Individual Healthcare Plans and Individual Allergy Risk Assessments.</w:t>
      </w:r>
    </w:p>
    <w:p w:rsidR="00F52B4A" w:rsidP="37D35C3F" w:rsidRDefault="009B33A4" w14:paraId="64098FE8" w14:textId="1CFA2486">
      <w:pPr>
        <w:rPr>
          <w:color w:val="auto"/>
          <w:lang w:val="en-GB"/>
        </w:rPr>
      </w:pPr>
      <w:r w:rsidRPr="37D35C3F" w:rsidR="009B33A4">
        <w:rPr>
          <w:color w:val="auto"/>
          <w:lang w:val="en-GB"/>
        </w:rPr>
        <w:t>Any changes needed following review will be recorded and communicated to relevant staff, parents/carers and pupils where appropriate.</w:t>
      </w:r>
    </w:p>
    <w:p w:rsidRPr="009B33A4" w:rsidR="006A3AE1" w:rsidP="37D35C3F" w:rsidRDefault="006A3AE1" w14:paraId="3B61959A" w14:textId="77777777">
      <w:pPr>
        <w:rPr>
          <w:b w:val="1"/>
          <w:bCs w:val="1"/>
          <w:color w:val="auto" w:themeColor="text1"/>
        </w:rPr>
      </w:pPr>
    </w:p>
    <w:sectPr w:rsidRPr="009B33A4" w:rsidR="006A3AE1" w:rsidSect="00554355">
      <w:headerReference w:type="even" r:id="rId11"/>
      <w:headerReference w:type="default" r:id="rId12"/>
      <w:headerReference w:type="first" r:id="rId15"/>
      <w:pgSz w:w="12240" w:h="15840" w:orient="portrait"/>
      <w:pgMar w:top="1134" w:right="1134" w:bottom="1134" w:left="1134" w:header="720" w:footer="720" w:gutter="0"/>
      <w:pgNumType w:start="0"/>
      <w:cols w:space="720"/>
      <w:titlePg/>
      <w:docGrid w:linePitch="360"/>
      <w:footerReference w:type="default" r:id="Rb5f526a4334142b1"/>
      <w:footerReference w:type="first" r:id="Ra2203ac52e35437b"/>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0369" w:rsidRDefault="00D50369" w14:paraId="14582837" w14:textId="77777777">
      <w:pPr>
        <w:spacing w:after="0" w:line="240" w:lineRule="auto"/>
      </w:pPr>
      <w:r>
        <w:separator/>
      </w:r>
    </w:p>
  </w:endnote>
  <w:endnote w:type="continuationSeparator" w:id="0">
    <w:p w:rsidR="00D50369" w:rsidRDefault="00D50369" w14:paraId="75E8BC0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footer4.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20"/>
      <w:gridCol w:w="3320"/>
      <w:gridCol w:w="3320"/>
    </w:tblGrid>
    <w:tr w:rsidR="37D35C3F" w:rsidTr="37D35C3F" w14:paraId="66074D0B">
      <w:trPr>
        <w:trHeight w:val="300"/>
      </w:trPr>
      <w:tc>
        <w:tcPr>
          <w:tcW w:w="3320" w:type="dxa"/>
          <w:tcMar/>
        </w:tcPr>
        <w:p w:rsidR="37D35C3F" w:rsidP="37D35C3F" w:rsidRDefault="37D35C3F" w14:paraId="43F7E255" w14:textId="50574642">
          <w:pPr>
            <w:pStyle w:val="Header"/>
            <w:bidi w:val="0"/>
            <w:ind w:left="-115"/>
            <w:jc w:val="left"/>
          </w:pPr>
        </w:p>
      </w:tc>
      <w:tc>
        <w:tcPr>
          <w:tcW w:w="3320" w:type="dxa"/>
          <w:tcMar/>
        </w:tcPr>
        <w:p w:rsidR="37D35C3F" w:rsidP="37D35C3F" w:rsidRDefault="37D35C3F" w14:paraId="4D78E049" w14:textId="3FC4C2CF">
          <w:pPr>
            <w:pStyle w:val="Header"/>
            <w:bidi w:val="0"/>
            <w:jc w:val="center"/>
          </w:pPr>
        </w:p>
      </w:tc>
      <w:tc>
        <w:tcPr>
          <w:tcW w:w="3320" w:type="dxa"/>
          <w:tcMar/>
        </w:tcPr>
        <w:p w:rsidR="37D35C3F" w:rsidP="37D35C3F" w:rsidRDefault="37D35C3F" w14:paraId="2492C61E" w14:textId="0D9591F1">
          <w:pPr>
            <w:pStyle w:val="Header"/>
            <w:bidi w:val="0"/>
            <w:ind w:right="-115"/>
            <w:jc w:val="right"/>
          </w:pPr>
          <w:r>
            <w:fldChar w:fldCharType="begin"/>
          </w:r>
          <w:r>
            <w:instrText xml:space="preserve">PAGE</w:instrText>
          </w:r>
          <w:r>
            <w:fldChar w:fldCharType="separate"/>
          </w:r>
          <w:r>
            <w:fldChar w:fldCharType="end"/>
          </w:r>
        </w:p>
      </w:tc>
    </w:tr>
  </w:tbl>
  <w:p w:rsidR="37D35C3F" w:rsidP="37D35C3F" w:rsidRDefault="37D35C3F" w14:paraId="494C9B06" w14:textId="2456A6FB">
    <w:pPr>
      <w:pStyle w:val="Footer"/>
      <w:bidi w:val="0"/>
    </w:pPr>
  </w:p>
</w:ftr>
</file>

<file path=word/footer5.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20"/>
      <w:gridCol w:w="3320"/>
      <w:gridCol w:w="3320"/>
    </w:tblGrid>
    <w:tr w:rsidR="37D35C3F" w:rsidTr="37D35C3F" w14:paraId="6E5532D9">
      <w:trPr>
        <w:trHeight w:val="300"/>
      </w:trPr>
      <w:tc>
        <w:tcPr>
          <w:tcW w:w="3320" w:type="dxa"/>
          <w:tcMar/>
        </w:tcPr>
        <w:p w:rsidR="37D35C3F" w:rsidP="37D35C3F" w:rsidRDefault="37D35C3F" w14:paraId="66AEE7A6" w14:textId="66E0040D">
          <w:pPr>
            <w:pStyle w:val="Header"/>
            <w:bidi w:val="0"/>
            <w:ind w:left="-115"/>
            <w:jc w:val="left"/>
          </w:pPr>
        </w:p>
      </w:tc>
      <w:tc>
        <w:tcPr>
          <w:tcW w:w="3320" w:type="dxa"/>
          <w:tcMar/>
        </w:tcPr>
        <w:p w:rsidR="37D35C3F" w:rsidP="37D35C3F" w:rsidRDefault="37D35C3F" w14:paraId="16DBE768" w14:textId="48032F88">
          <w:pPr>
            <w:pStyle w:val="Header"/>
            <w:bidi w:val="0"/>
            <w:jc w:val="center"/>
          </w:pPr>
        </w:p>
      </w:tc>
      <w:tc>
        <w:tcPr>
          <w:tcW w:w="3320" w:type="dxa"/>
          <w:tcMar/>
        </w:tcPr>
        <w:p w:rsidR="37D35C3F" w:rsidP="37D35C3F" w:rsidRDefault="37D35C3F" w14:paraId="68F9DEA5" w14:textId="1E90F43D">
          <w:pPr>
            <w:pStyle w:val="Header"/>
            <w:bidi w:val="0"/>
            <w:ind w:right="-115"/>
            <w:jc w:val="right"/>
          </w:pPr>
        </w:p>
      </w:tc>
    </w:tr>
  </w:tbl>
  <w:p w:rsidR="37D35C3F" w:rsidP="37D35C3F" w:rsidRDefault="37D35C3F" w14:paraId="2D318F9A" w14:textId="29C51CD0">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0369" w:rsidRDefault="00D50369" w14:paraId="06DD2FEC" w14:textId="77777777">
      <w:pPr>
        <w:spacing w:after="0" w:line="240" w:lineRule="auto"/>
      </w:pPr>
      <w:r>
        <w:separator/>
      </w:r>
    </w:p>
  </w:footnote>
  <w:footnote w:type="continuationSeparator" w:id="0">
    <w:p w:rsidR="00D50369" w:rsidRDefault="00D50369" w14:paraId="5DF8229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7C6" w:rsidRDefault="001B27C6" w14:paraId="5CACCD2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7C6" w:rsidRDefault="001B27C6" w14:paraId="6C30906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7C6" w:rsidRDefault="001B27C6" w14:paraId="272DE2C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4" w15:restartNumberingAfterBreak="0">
    <w:nsid w:val="FFFFFF88"/>
    <w:multiLevelType w:val="singleLevel"/>
    <w:tmpl w:val="DB7A834C"/>
    <w:lvl w:ilvl="0">
      <w:start w:val="1"/>
      <w:numFmt w:val="decimal"/>
      <w:pStyle w:val="ListNumber"/>
      <w:lvlText w:val="%1."/>
      <w:lvlJc w:val="left"/>
      <w:pPr>
        <w:tabs>
          <w:tab w:val="num" w:pos="502"/>
        </w:tabs>
        <w:ind w:left="502" w:hanging="360"/>
      </w:pPr>
      <w:rPr>
        <w:b w:val="0"/>
        <w:bCs w:val="0"/>
        <w:color w:val="auto"/>
      </w:r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6" w15:restartNumberingAfterBreak="0">
    <w:nsid w:val="012D4B35"/>
    <w:multiLevelType w:val="hybridMultilevel"/>
    <w:tmpl w:val="B18E0BBC"/>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020F2BF3"/>
    <w:multiLevelType w:val="hybridMultilevel"/>
    <w:tmpl w:val="88F6BF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0F4E531E"/>
    <w:multiLevelType w:val="hybridMultilevel"/>
    <w:tmpl w:val="C93467EE"/>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9" w15:restartNumberingAfterBreak="0">
    <w:nsid w:val="109D12D3"/>
    <w:multiLevelType w:val="hybridMultilevel"/>
    <w:tmpl w:val="CB2C0B6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131841B1"/>
    <w:multiLevelType w:val="hybridMultilevel"/>
    <w:tmpl w:val="4154C586"/>
    <w:lvl w:ilvl="0" w:tplc="1DD4A246">
      <w:start w:val="1"/>
      <w:numFmt w:val="decimal"/>
      <w:lvlText w:val="%1."/>
      <w:lvlJc w:val="left"/>
      <w:pPr>
        <w:ind w:left="786" w:hanging="360"/>
      </w:pPr>
      <w:rPr>
        <w:b w:val="0"/>
        <w:bCs w:val="0"/>
        <w:i w:val="0"/>
        <w:iCs w:val="0"/>
        <w:color w:val="276E8B" w:themeColor="accent1" w:themeShade="BF"/>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15:restartNumberingAfterBreak="0">
    <w:nsid w:val="20F340DC"/>
    <w:multiLevelType w:val="hybridMultilevel"/>
    <w:tmpl w:val="FE406DD2"/>
    <w:lvl w:ilvl="0" w:tplc="08090001">
      <w:start w:val="1"/>
      <w:numFmt w:val="bullet"/>
      <w:lvlText w:val=""/>
      <w:lvlJc w:val="left"/>
      <w:pPr>
        <w:ind w:left="720" w:hanging="360"/>
      </w:pPr>
      <w:rPr>
        <w:rFonts w:hint="default" w:ascii="Symbol" w:hAnsi="Symbol"/>
      </w:rPr>
    </w:lvl>
    <w:lvl w:ilvl="1" w:tplc="78E456D0">
      <w:numFmt w:val="bullet"/>
      <w:lvlText w:val="-"/>
      <w:lvlJc w:val="left"/>
      <w:pPr>
        <w:ind w:left="1440" w:hanging="360"/>
      </w:pPr>
      <w:rPr>
        <w:rFonts w:hint="default" w:ascii="Arial" w:hAnsi="Arial" w:eastAsia="Arial"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2FE2877"/>
    <w:multiLevelType w:val="hybridMultilevel"/>
    <w:tmpl w:val="446EB668"/>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3" w15:restartNumberingAfterBreak="0">
    <w:nsid w:val="265E2DA3"/>
    <w:multiLevelType w:val="hybridMultilevel"/>
    <w:tmpl w:val="2486872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4" w15:restartNumberingAfterBreak="0">
    <w:nsid w:val="2B895156"/>
    <w:multiLevelType w:val="hybridMultilevel"/>
    <w:tmpl w:val="0A7C79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03937E6"/>
    <w:multiLevelType w:val="hybridMultilevel"/>
    <w:tmpl w:val="4EE403BC"/>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6" w15:restartNumberingAfterBreak="0">
    <w:nsid w:val="30642691"/>
    <w:multiLevelType w:val="hybridMultilevel"/>
    <w:tmpl w:val="81761E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FBA77D3"/>
    <w:multiLevelType w:val="hybridMultilevel"/>
    <w:tmpl w:val="648AA10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67F850DA"/>
    <w:multiLevelType w:val="hybridMultilevel"/>
    <w:tmpl w:val="EF5C26E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9" w15:restartNumberingAfterBreak="0">
    <w:nsid w:val="68FE2BD3"/>
    <w:multiLevelType w:val="hybridMultilevel"/>
    <w:tmpl w:val="F4A2B4F4"/>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20" w15:restartNumberingAfterBreak="0">
    <w:nsid w:val="6A922854"/>
    <w:multiLevelType w:val="hybridMultilevel"/>
    <w:tmpl w:val="D5FA9A1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1" w15:restartNumberingAfterBreak="0">
    <w:nsid w:val="757C5DD2"/>
    <w:multiLevelType w:val="hybridMultilevel"/>
    <w:tmpl w:val="387C4E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35414734">
    <w:abstractNumId w:val="5"/>
  </w:num>
  <w:num w:numId="2" w16cid:durableId="1422216325">
    <w:abstractNumId w:val="3"/>
  </w:num>
  <w:num w:numId="3" w16cid:durableId="1387803724">
    <w:abstractNumId w:val="2"/>
  </w:num>
  <w:num w:numId="4" w16cid:durableId="1137987944">
    <w:abstractNumId w:val="4"/>
  </w:num>
  <w:num w:numId="5" w16cid:durableId="436754586">
    <w:abstractNumId w:val="1"/>
  </w:num>
  <w:num w:numId="6" w16cid:durableId="490294153">
    <w:abstractNumId w:val="0"/>
  </w:num>
  <w:num w:numId="7" w16cid:durableId="435564501">
    <w:abstractNumId w:val="14"/>
  </w:num>
  <w:num w:numId="8" w16cid:durableId="196629076">
    <w:abstractNumId w:val="11"/>
  </w:num>
  <w:num w:numId="9" w16cid:durableId="1877546404">
    <w:abstractNumId w:val="6"/>
  </w:num>
  <w:num w:numId="10" w16cid:durableId="1825197670">
    <w:abstractNumId w:val="20"/>
  </w:num>
  <w:num w:numId="11" w16cid:durableId="393164587">
    <w:abstractNumId w:val="13"/>
  </w:num>
  <w:num w:numId="12" w16cid:durableId="1099259366">
    <w:abstractNumId w:val="9"/>
  </w:num>
  <w:num w:numId="13" w16cid:durableId="78604874">
    <w:abstractNumId w:val="19"/>
  </w:num>
  <w:num w:numId="14" w16cid:durableId="1113473602">
    <w:abstractNumId w:val="10"/>
  </w:num>
  <w:num w:numId="15" w16cid:durableId="1757480000">
    <w:abstractNumId w:val="15"/>
  </w:num>
  <w:num w:numId="16" w16cid:durableId="1554386878">
    <w:abstractNumId w:val="12"/>
  </w:num>
  <w:num w:numId="17" w16cid:durableId="1113475830">
    <w:abstractNumId w:val="8"/>
  </w:num>
  <w:num w:numId="18" w16cid:durableId="2070222835">
    <w:abstractNumId w:val="7"/>
  </w:num>
  <w:num w:numId="19" w16cid:durableId="1562474989">
    <w:abstractNumId w:val="17"/>
  </w:num>
  <w:num w:numId="20" w16cid:durableId="583801703">
    <w:abstractNumId w:val="18"/>
  </w:num>
  <w:num w:numId="21" w16cid:durableId="1084885989">
    <w:abstractNumId w:val="21"/>
  </w:num>
  <w:num w:numId="22" w16cid:durableId="1277711149">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215"/>
    <w:rsid w:val="0002294A"/>
    <w:rsid w:val="00022CB6"/>
    <w:rsid w:val="00024CFA"/>
    <w:rsid w:val="00025762"/>
    <w:rsid w:val="000313E4"/>
    <w:rsid w:val="00034616"/>
    <w:rsid w:val="00034C0C"/>
    <w:rsid w:val="00041881"/>
    <w:rsid w:val="00043827"/>
    <w:rsid w:val="000460E2"/>
    <w:rsid w:val="00055E3B"/>
    <w:rsid w:val="0005612B"/>
    <w:rsid w:val="00056EE9"/>
    <w:rsid w:val="00057F18"/>
    <w:rsid w:val="0006063C"/>
    <w:rsid w:val="00060772"/>
    <w:rsid w:val="00067FE3"/>
    <w:rsid w:val="00082704"/>
    <w:rsid w:val="00093B95"/>
    <w:rsid w:val="000A207D"/>
    <w:rsid w:val="000B14F2"/>
    <w:rsid w:val="000B3259"/>
    <w:rsid w:val="000B62E2"/>
    <w:rsid w:val="000D34E1"/>
    <w:rsid w:val="000E759D"/>
    <w:rsid w:val="000F7E85"/>
    <w:rsid w:val="001164A7"/>
    <w:rsid w:val="00121CB8"/>
    <w:rsid w:val="001337EA"/>
    <w:rsid w:val="00140A65"/>
    <w:rsid w:val="00147AFC"/>
    <w:rsid w:val="0015074B"/>
    <w:rsid w:val="0015285E"/>
    <w:rsid w:val="001546A3"/>
    <w:rsid w:val="00155348"/>
    <w:rsid w:val="0016319B"/>
    <w:rsid w:val="00163880"/>
    <w:rsid w:val="001679B8"/>
    <w:rsid w:val="00170E46"/>
    <w:rsid w:val="00173AF5"/>
    <w:rsid w:val="00174CAF"/>
    <w:rsid w:val="0018001F"/>
    <w:rsid w:val="0018028C"/>
    <w:rsid w:val="0018670A"/>
    <w:rsid w:val="0018721C"/>
    <w:rsid w:val="001A7C99"/>
    <w:rsid w:val="001B27C6"/>
    <w:rsid w:val="001B7806"/>
    <w:rsid w:val="001C59AE"/>
    <w:rsid w:val="001D037B"/>
    <w:rsid w:val="001D7A0D"/>
    <w:rsid w:val="001E6231"/>
    <w:rsid w:val="001F05E9"/>
    <w:rsid w:val="001F13B5"/>
    <w:rsid w:val="001F4416"/>
    <w:rsid w:val="001F5FAA"/>
    <w:rsid w:val="001F6696"/>
    <w:rsid w:val="001F7E65"/>
    <w:rsid w:val="00200392"/>
    <w:rsid w:val="00201FD8"/>
    <w:rsid w:val="00202856"/>
    <w:rsid w:val="00206E3E"/>
    <w:rsid w:val="00217E59"/>
    <w:rsid w:val="00223409"/>
    <w:rsid w:val="00224297"/>
    <w:rsid w:val="00230556"/>
    <w:rsid w:val="002327B2"/>
    <w:rsid w:val="00244C22"/>
    <w:rsid w:val="002576F4"/>
    <w:rsid w:val="00262030"/>
    <w:rsid w:val="00262C27"/>
    <w:rsid w:val="00266031"/>
    <w:rsid w:val="002664BF"/>
    <w:rsid w:val="00271C6A"/>
    <w:rsid w:val="00273AC3"/>
    <w:rsid w:val="00276192"/>
    <w:rsid w:val="00276E97"/>
    <w:rsid w:val="00284B78"/>
    <w:rsid w:val="00294154"/>
    <w:rsid w:val="00294337"/>
    <w:rsid w:val="00294DA8"/>
    <w:rsid w:val="0029639D"/>
    <w:rsid w:val="002B03CC"/>
    <w:rsid w:val="002C7589"/>
    <w:rsid w:val="002D07F6"/>
    <w:rsid w:val="002D4A10"/>
    <w:rsid w:val="002D5003"/>
    <w:rsid w:val="002D6941"/>
    <w:rsid w:val="002D6F9F"/>
    <w:rsid w:val="002E006D"/>
    <w:rsid w:val="0030135D"/>
    <w:rsid w:val="003109EE"/>
    <w:rsid w:val="00311DE4"/>
    <w:rsid w:val="0032099A"/>
    <w:rsid w:val="00322478"/>
    <w:rsid w:val="003249CC"/>
    <w:rsid w:val="00326F90"/>
    <w:rsid w:val="00327642"/>
    <w:rsid w:val="00336356"/>
    <w:rsid w:val="003367EF"/>
    <w:rsid w:val="00340EA2"/>
    <w:rsid w:val="003431B2"/>
    <w:rsid w:val="00346B3A"/>
    <w:rsid w:val="00351130"/>
    <w:rsid w:val="003537C0"/>
    <w:rsid w:val="00353C09"/>
    <w:rsid w:val="003541F4"/>
    <w:rsid w:val="00354C5C"/>
    <w:rsid w:val="00360E65"/>
    <w:rsid w:val="00361DE4"/>
    <w:rsid w:val="003628EA"/>
    <w:rsid w:val="00365502"/>
    <w:rsid w:val="00366D77"/>
    <w:rsid w:val="003726C4"/>
    <w:rsid w:val="00376DD6"/>
    <w:rsid w:val="00384A45"/>
    <w:rsid w:val="0038672B"/>
    <w:rsid w:val="00391732"/>
    <w:rsid w:val="003932D0"/>
    <w:rsid w:val="00394228"/>
    <w:rsid w:val="00397914"/>
    <w:rsid w:val="003A167A"/>
    <w:rsid w:val="003A3A29"/>
    <w:rsid w:val="003B11A5"/>
    <w:rsid w:val="003C28AD"/>
    <w:rsid w:val="003C5359"/>
    <w:rsid w:val="003E157E"/>
    <w:rsid w:val="003E6AF5"/>
    <w:rsid w:val="003F57A3"/>
    <w:rsid w:val="004067B0"/>
    <w:rsid w:val="00410B66"/>
    <w:rsid w:val="00412BC7"/>
    <w:rsid w:val="004131B4"/>
    <w:rsid w:val="00422ACD"/>
    <w:rsid w:val="0042315E"/>
    <w:rsid w:val="00423545"/>
    <w:rsid w:val="00434438"/>
    <w:rsid w:val="00434619"/>
    <w:rsid w:val="00441C14"/>
    <w:rsid w:val="00442541"/>
    <w:rsid w:val="0044512D"/>
    <w:rsid w:val="004464C5"/>
    <w:rsid w:val="00457188"/>
    <w:rsid w:val="0046340C"/>
    <w:rsid w:val="004656D5"/>
    <w:rsid w:val="004708B2"/>
    <w:rsid w:val="00477E65"/>
    <w:rsid w:val="004817AC"/>
    <w:rsid w:val="00486399"/>
    <w:rsid w:val="004958BD"/>
    <w:rsid w:val="004A2934"/>
    <w:rsid w:val="004B3854"/>
    <w:rsid w:val="004C1DBC"/>
    <w:rsid w:val="004C2CBD"/>
    <w:rsid w:val="004C309B"/>
    <w:rsid w:val="004C3944"/>
    <w:rsid w:val="004C4E0B"/>
    <w:rsid w:val="004C6698"/>
    <w:rsid w:val="004D107A"/>
    <w:rsid w:val="004D640E"/>
    <w:rsid w:val="004E2C71"/>
    <w:rsid w:val="004E5F0F"/>
    <w:rsid w:val="004F0A4E"/>
    <w:rsid w:val="00522E73"/>
    <w:rsid w:val="00523DEA"/>
    <w:rsid w:val="00526E50"/>
    <w:rsid w:val="0052BE54"/>
    <w:rsid w:val="0053452A"/>
    <w:rsid w:val="0054594A"/>
    <w:rsid w:val="00547174"/>
    <w:rsid w:val="00554355"/>
    <w:rsid w:val="00574C9D"/>
    <w:rsid w:val="00575B1D"/>
    <w:rsid w:val="00576E63"/>
    <w:rsid w:val="00576F63"/>
    <w:rsid w:val="00581BFD"/>
    <w:rsid w:val="00585D83"/>
    <w:rsid w:val="00591012"/>
    <w:rsid w:val="00591C3A"/>
    <w:rsid w:val="00591D39"/>
    <w:rsid w:val="00593A6D"/>
    <w:rsid w:val="005972C8"/>
    <w:rsid w:val="005A2F09"/>
    <w:rsid w:val="005D39FD"/>
    <w:rsid w:val="005D4DC9"/>
    <w:rsid w:val="005E0244"/>
    <w:rsid w:val="005E5527"/>
    <w:rsid w:val="005E5E9D"/>
    <w:rsid w:val="0060622F"/>
    <w:rsid w:val="00611977"/>
    <w:rsid w:val="006133BE"/>
    <w:rsid w:val="00620213"/>
    <w:rsid w:val="00620B48"/>
    <w:rsid w:val="00624C6D"/>
    <w:rsid w:val="00632745"/>
    <w:rsid w:val="00634420"/>
    <w:rsid w:val="00636598"/>
    <w:rsid w:val="00651BCD"/>
    <w:rsid w:val="00662EAE"/>
    <w:rsid w:val="0067284F"/>
    <w:rsid w:val="00683DE4"/>
    <w:rsid w:val="00686040"/>
    <w:rsid w:val="00694121"/>
    <w:rsid w:val="00695647"/>
    <w:rsid w:val="006A3AE1"/>
    <w:rsid w:val="006A3D69"/>
    <w:rsid w:val="006A576E"/>
    <w:rsid w:val="006B43E5"/>
    <w:rsid w:val="006C0263"/>
    <w:rsid w:val="006C6D4F"/>
    <w:rsid w:val="006E0D9C"/>
    <w:rsid w:val="006F3420"/>
    <w:rsid w:val="006F5423"/>
    <w:rsid w:val="006F5879"/>
    <w:rsid w:val="00700C31"/>
    <w:rsid w:val="0070385F"/>
    <w:rsid w:val="00712243"/>
    <w:rsid w:val="0071592A"/>
    <w:rsid w:val="0072048E"/>
    <w:rsid w:val="00722EE3"/>
    <w:rsid w:val="00731AA3"/>
    <w:rsid w:val="00733552"/>
    <w:rsid w:val="00734070"/>
    <w:rsid w:val="00743B92"/>
    <w:rsid w:val="007569D9"/>
    <w:rsid w:val="00761DE2"/>
    <w:rsid w:val="00762DBC"/>
    <w:rsid w:val="00763D93"/>
    <w:rsid w:val="00775D4E"/>
    <w:rsid w:val="00776C3D"/>
    <w:rsid w:val="00777461"/>
    <w:rsid w:val="007938A0"/>
    <w:rsid w:val="00795734"/>
    <w:rsid w:val="007B2A86"/>
    <w:rsid w:val="007B62A3"/>
    <w:rsid w:val="007C301C"/>
    <w:rsid w:val="007C4376"/>
    <w:rsid w:val="007C47F5"/>
    <w:rsid w:val="007C6502"/>
    <w:rsid w:val="007D7BD8"/>
    <w:rsid w:val="007E0AC2"/>
    <w:rsid w:val="007E1117"/>
    <w:rsid w:val="007E2DAB"/>
    <w:rsid w:val="007F2CC2"/>
    <w:rsid w:val="007F5588"/>
    <w:rsid w:val="00805757"/>
    <w:rsid w:val="00806693"/>
    <w:rsid w:val="00812258"/>
    <w:rsid w:val="00813B5D"/>
    <w:rsid w:val="00816BCB"/>
    <w:rsid w:val="00823961"/>
    <w:rsid w:val="00827CAE"/>
    <w:rsid w:val="00830532"/>
    <w:rsid w:val="008328D8"/>
    <w:rsid w:val="00842206"/>
    <w:rsid w:val="00847E46"/>
    <w:rsid w:val="00855DAB"/>
    <w:rsid w:val="00860E69"/>
    <w:rsid w:val="0086670A"/>
    <w:rsid w:val="008714C6"/>
    <w:rsid w:val="0088759F"/>
    <w:rsid w:val="008A0C07"/>
    <w:rsid w:val="008B216C"/>
    <w:rsid w:val="008B2F33"/>
    <w:rsid w:val="008C1055"/>
    <w:rsid w:val="008D267F"/>
    <w:rsid w:val="008D3D80"/>
    <w:rsid w:val="008D7FD2"/>
    <w:rsid w:val="008E3BE3"/>
    <w:rsid w:val="008E5DC5"/>
    <w:rsid w:val="008F0637"/>
    <w:rsid w:val="00901834"/>
    <w:rsid w:val="0090415D"/>
    <w:rsid w:val="009052F5"/>
    <w:rsid w:val="00911A03"/>
    <w:rsid w:val="009131AD"/>
    <w:rsid w:val="00913F51"/>
    <w:rsid w:val="009147E3"/>
    <w:rsid w:val="00916E08"/>
    <w:rsid w:val="0092044C"/>
    <w:rsid w:val="00921EF7"/>
    <w:rsid w:val="00922AF4"/>
    <w:rsid w:val="0092501E"/>
    <w:rsid w:val="00945E34"/>
    <w:rsid w:val="00946D09"/>
    <w:rsid w:val="00954217"/>
    <w:rsid w:val="00961397"/>
    <w:rsid w:val="00965BE2"/>
    <w:rsid w:val="00981F32"/>
    <w:rsid w:val="00991C97"/>
    <w:rsid w:val="00991F39"/>
    <w:rsid w:val="009A574A"/>
    <w:rsid w:val="009A7DA0"/>
    <w:rsid w:val="009B33A4"/>
    <w:rsid w:val="009B5530"/>
    <w:rsid w:val="009C2006"/>
    <w:rsid w:val="009C7A47"/>
    <w:rsid w:val="009D1073"/>
    <w:rsid w:val="009E2D50"/>
    <w:rsid w:val="009E2F7B"/>
    <w:rsid w:val="009E51B7"/>
    <w:rsid w:val="009E6E2D"/>
    <w:rsid w:val="009F09A3"/>
    <w:rsid w:val="009F3376"/>
    <w:rsid w:val="009F42F8"/>
    <w:rsid w:val="009F4402"/>
    <w:rsid w:val="009F4DF3"/>
    <w:rsid w:val="00A02971"/>
    <w:rsid w:val="00A04602"/>
    <w:rsid w:val="00A1104D"/>
    <w:rsid w:val="00A15FC9"/>
    <w:rsid w:val="00A21752"/>
    <w:rsid w:val="00A36FA3"/>
    <w:rsid w:val="00A36FEC"/>
    <w:rsid w:val="00A42630"/>
    <w:rsid w:val="00A4489E"/>
    <w:rsid w:val="00A449F1"/>
    <w:rsid w:val="00A53D4C"/>
    <w:rsid w:val="00A55A17"/>
    <w:rsid w:val="00A57994"/>
    <w:rsid w:val="00A6290B"/>
    <w:rsid w:val="00A64953"/>
    <w:rsid w:val="00A76236"/>
    <w:rsid w:val="00A8122B"/>
    <w:rsid w:val="00A873A6"/>
    <w:rsid w:val="00A95AA3"/>
    <w:rsid w:val="00AA1D8D"/>
    <w:rsid w:val="00AA1ED9"/>
    <w:rsid w:val="00AA53E0"/>
    <w:rsid w:val="00AA5BF7"/>
    <w:rsid w:val="00AB03FA"/>
    <w:rsid w:val="00AB187A"/>
    <w:rsid w:val="00AB43EE"/>
    <w:rsid w:val="00AB66DB"/>
    <w:rsid w:val="00AB7E95"/>
    <w:rsid w:val="00AC3866"/>
    <w:rsid w:val="00AD3E53"/>
    <w:rsid w:val="00AE0ABB"/>
    <w:rsid w:val="00AE361B"/>
    <w:rsid w:val="00AE52D0"/>
    <w:rsid w:val="00AF00EE"/>
    <w:rsid w:val="00AF182D"/>
    <w:rsid w:val="00B15A1B"/>
    <w:rsid w:val="00B2052D"/>
    <w:rsid w:val="00B23C85"/>
    <w:rsid w:val="00B2424B"/>
    <w:rsid w:val="00B257AD"/>
    <w:rsid w:val="00B339F5"/>
    <w:rsid w:val="00B47730"/>
    <w:rsid w:val="00B506DD"/>
    <w:rsid w:val="00B52CA1"/>
    <w:rsid w:val="00B5514D"/>
    <w:rsid w:val="00B55F69"/>
    <w:rsid w:val="00B64822"/>
    <w:rsid w:val="00B6625E"/>
    <w:rsid w:val="00B705C7"/>
    <w:rsid w:val="00B74B79"/>
    <w:rsid w:val="00B8366B"/>
    <w:rsid w:val="00B869EB"/>
    <w:rsid w:val="00B91922"/>
    <w:rsid w:val="00BA5CE5"/>
    <w:rsid w:val="00BB3D77"/>
    <w:rsid w:val="00BC43CB"/>
    <w:rsid w:val="00BD1604"/>
    <w:rsid w:val="00BE1722"/>
    <w:rsid w:val="00C001D2"/>
    <w:rsid w:val="00C00E42"/>
    <w:rsid w:val="00C016FE"/>
    <w:rsid w:val="00C11215"/>
    <w:rsid w:val="00C117B4"/>
    <w:rsid w:val="00C14A87"/>
    <w:rsid w:val="00C159D0"/>
    <w:rsid w:val="00C25C10"/>
    <w:rsid w:val="00C32947"/>
    <w:rsid w:val="00C34382"/>
    <w:rsid w:val="00C364AF"/>
    <w:rsid w:val="00C42258"/>
    <w:rsid w:val="00C42FC3"/>
    <w:rsid w:val="00C52263"/>
    <w:rsid w:val="00C5514E"/>
    <w:rsid w:val="00C560D2"/>
    <w:rsid w:val="00C577A8"/>
    <w:rsid w:val="00C62FFD"/>
    <w:rsid w:val="00C65352"/>
    <w:rsid w:val="00C65AF6"/>
    <w:rsid w:val="00C67689"/>
    <w:rsid w:val="00C676CB"/>
    <w:rsid w:val="00C77301"/>
    <w:rsid w:val="00C858B8"/>
    <w:rsid w:val="00C93AB6"/>
    <w:rsid w:val="00C95DB8"/>
    <w:rsid w:val="00C9677C"/>
    <w:rsid w:val="00C977E2"/>
    <w:rsid w:val="00CA251B"/>
    <w:rsid w:val="00CA734B"/>
    <w:rsid w:val="00CB0664"/>
    <w:rsid w:val="00CB23E4"/>
    <w:rsid w:val="00CB28E3"/>
    <w:rsid w:val="00CB30D1"/>
    <w:rsid w:val="00CB5B13"/>
    <w:rsid w:val="00CB607C"/>
    <w:rsid w:val="00CB7A66"/>
    <w:rsid w:val="00CB7EA3"/>
    <w:rsid w:val="00CC474F"/>
    <w:rsid w:val="00CD7888"/>
    <w:rsid w:val="00CE0BED"/>
    <w:rsid w:val="00CF059A"/>
    <w:rsid w:val="00CF07A1"/>
    <w:rsid w:val="00CF0AFC"/>
    <w:rsid w:val="00D03085"/>
    <w:rsid w:val="00D04A21"/>
    <w:rsid w:val="00D06AAA"/>
    <w:rsid w:val="00D07995"/>
    <w:rsid w:val="00D10288"/>
    <w:rsid w:val="00D11EDA"/>
    <w:rsid w:val="00D14F3F"/>
    <w:rsid w:val="00D23864"/>
    <w:rsid w:val="00D2432C"/>
    <w:rsid w:val="00D368FC"/>
    <w:rsid w:val="00D37F15"/>
    <w:rsid w:val="00D44243"/>
    <w:rsid w:val="00D469F4"/>
    <w:rsid w:val="00D46CEB"/>
    <w:rsid w:val="00D50369"/>
    <w:rsid w:val="00D54459"/>
    <w:rsid w:val="00D604D6"/>
    <w:rsid w:val="00D624FE"/>
    <w:rsid w:val="00D65628"/>
    <w:rsid w:val="00D70A52"/>
    <w:rsid w:val="00D73EB3"/>
    <w:rsid w:val="00D75BDC"/>
    <w:rsid w:val="00D80F4A"/>
    <w:rsid w:val="00D81EA9"/>
    <w:rsid w:val="00D91415"/>
    <w:rsid w:val="00D9225E"/>
    <w:rsid w:val="00DA496B"/>
    <w:rsid w:val="00DB3628"/>
    <w:rsid w:val="00DB4013"/>
    <w:rsid w:val="00DB4122"/>
    <w:rsid w:val="00DB7DF2"/>
    <w:rsid w:val="00DC57DE"/>
    <w:rsid w:val="00DE0613"/>
    <w:rsid w:val="00DE30B2"/>
    <w:rsid w:val="00DE6CDF"/>
    <w:rsid w:val="00DF52FA"/>
    <w:rsid w:val="00E17613"/>
    <w:rsid w:val="00E201FC"/>
    <w:rsid w:val="00E20357"/>
    <w:rsid w:val="00E2719F"/>
    <w:rsid w:val="00E305B7"/>
    <w:rsid w:val="00E321DF"/>
    <w:rsid w:val="00E40675"/>
    <w:rsid w:val="00E41640"/>
    <w:rsid w:val="00E46E45"/>
    <w:rsid w:val="00E502B9"/>
    <w:rsid w:val="00E5048F"/>
    <w:rsid w:val="00E52E31"/>
    <w:rsid w:val="00E54837"/>
    <w:rsid w:val="00E62971"/>
    <w:rsid w:val="00E660C6"/>
    <w:rsid w:val="00E70F39"/>
    <w:rsid w:val="00E8283D"/>
    <w:rsid w:val="00E90893"/>
    <w:rsid w:val="00E91D71"/>
    <w:rsid w:val="00E97F06"/>
    <w:rsid w:val="00EA025B"/>
    <w:rsid w:val="00EA432B"/>
    <w:rsid w:val="00EA4BAA"/>
    <w:rsid w:val="00EA6DE4"/>
    <w:rsid w:val="00EB1180"/>
    <w:rsid w:val="00EB6D44"/>
    <w:rsid w:val="00EC47E7"/>
    <w:rsid w:val="00ED211E"/>
    <w:rsid w:val="00ED3C8A"/>
    <w:rsid w:val="00EE2323"/>
    <w:rsid w:val="00EE6249"/>
    <w:rsid w:val="00F01C26"/>
    <w:rsid w:val="00F040AC"/>
    <w:rsid w:val="00F04846"/>
    <w:rsid w:val="00F04D88"/>
    <w:rsid w:val="00F0747E"/>
    <w:rsid w:val="00F07BED"/>
    <w:rsid w:val="00F13394"/>
    <w:rsid w:val="00F16EA1"/>
    <w:rsid w:val="00F173D9"/>
    <w:rsid w:val="00F17D7D"/>
    <w:rsid w:val="00F21100"/>
    <w:rsid w:val="00F260A2"/>
    <w:rsid w:val="00F267B7"/>
    <w:rsid w:val="00F466C3"/>
    <w:rsid w:val="00F4684B"/>
    <w:rsid w:val="00F46C64"/>
    <w:rsid w:val="00F52B4A"/>
    <w:rsid w:val="00F54B18"/>
    <w:rsid w:val="00F558F2"/>
    <w:rsid w:val="00F5786E"/>
    <w:rsid w:val="00F6170C"/>
    <w:rsid w:val="00F6734F"/>
    <w:rsid w:val="00F708D7"/>
    <w:rsid w:val="00F742E9"/>
    <w:rsid w:val="00F75CFD"/>
    <w:rsid w:val="00F838DB"/>
    <w:rsid w:val="00F8627D"/>
    <w:rsid w:val="00F91DC2"/>
    <w:rsid w:val="00F9501C"/>
    <w:rsid w:val="00FA2A40"/>
    <w:rsid w:val="00FA2C82"/>
    <w:rsid w:val="00FA4E8B"/>
    <w:rsid w:val="00FB37AE"/>
    <w:rsid w:val="00FB4278"/>
    <w:rsid w:val="00FB7118"/>
    <w:rsid w:val="00FC072F"/>
    <w:rsid w:val="00FC693F"/>
    <w:rsid w:val="00FC7B73"/>
    <w:rsid w:val="00FD10E3"/>
    <w:rsid w:val="00FD339B"/>
    <w:rsid w:val="00FD37D0"/>
    <w:rsid w:val="00FD4109"/>
    <w:rsid w:val="00FE7387"/>
    <w:rsid w:val="00FF1A17"/>
    <w:rsid w:val="00FF202F"/>
    <w:rsid w:val="00FF57A2"/>
    <w:rsid w:val="00FF690D"/>
    <w:rsid w:val="00FF6F0B"/>
    <w:rsid w:val="00FF7888"/>
    <w:rsid w:val="091A360B"/>
    <w:rsid w:val="0A2CF7F6"/>
    <w:rsid w:val="0DD448C8"/>
    <w:rsid w:val="0EAA7A63"/>
    <w:rsid w:val="0F811D54"/>
    <w:rsid w:val="119DABBB"/>
    <w:rsid w:val="145B7A22"/>
    <w:rsid w:val="18A30E7A"/>
    <w:rsid w:val="18C6ED11"/>
    <w:rsid w:val="19AE070C"/>
    <w:rsid w:val="1B0B8FE5"/>
    <w:rsid w:val="1B0B8FE5"/>
    <w:rsid w:val="24FB18BB"/>
    <w:rsid w:val="2AB2635C"/>
    <w:rsid w:val="2DF27297"/>
    <w:rsid w:val="312E5F2E"/>
    <w:rsid w:val="341A7076"/>
    <w:rsid w:val="37D35C3F"/>
    <w:rsid w:val="449B5247"/>
    <w:rsid w:val="474AD1BA"/>
    <w:rsid w:val="49358E1A"/>
    <w:rsid w:val="4B489E26"/>
    <w:rsid w:val="4EE77AF7"/>
    <w:rsid w:val="50F84A7C"/>
    <w:rsid w:val="51983914"/>
    <w:rsid w:val="53314979"/>
    <w:rsid w:val="5352EA8C"/>
    <w:rsid w:val="5609B3EF"/>
    <w:rsid w:val="5E98624A"/>
    <w:rsid w:val="5F71EF1C"/>
    <w:rsid w:val="6537B8AE"/>
    <w:rsid w:val="6CF6C4C3"/>
    <w:rsid w:val="7143F711"/>
    <w:rsid w:val="72F1704D"/>
    <w:rsid w:val="7707EAE5"/>
    <w:rsid w:val="7D0F78E0"/>
    <w:rsid w:val="7F0CB4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28DECA1D-A3E6-4942-8779-44A63317F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rPr>
      <w:rFonts w:ascii="Arial" w:hAnsi="Arial" w:eastAsia="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276E8B"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3494BA"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3494BA"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3494BA"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1A495C"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1A495C"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3494BA"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276E8B"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3494BA"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3494BA" w:themeColor="accent1"/>
    </w:rPr>
  </w:style>
  <w:style w:type="paragraph" w:styleId="Title">
    <w:name w:val="Title"/>
    <w:basedOn w:val="Normal"/>
    <w:next w:val="Normal"/>
    <w:link w:val="TitleChar"/>
    <w:uiPriority w:val="10"/>
    <w:qFormat/>
    <w:rsid w:val="00FC693F"/>
    <w:pPr>
      <w:pBdr>
        <w:bottom w:val="single" w:color="3494BA" w:themeColor="accent1" w:sz="8" w:space="4"/>
      </w:pBdr>
      <w:spacing w:after="300" w:line="240" w:lineRule="auto"/>
      <w:contextualSpacing/>
    </w:pPr>
    <w:rPr>
      <w:rFonts w:asciiTheme="majorHAnsi" w:hAnsiTheme="majorHAnsi" w:eastAsiaTheme="majorEastAsia" w:cstheme="majorBidi"/>
      <w:b/>
      <w:color w:val="292733" w:themeColor="text2" w:themeShade="BF"/>
      <w:spacing w:val="5"/>
      <w:kern w:val="28"/>
      <w:sz w:val="3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292733"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3494BA" w:themeColor="accent1"/>
      <w:spacing w:val="15"/>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3494BA"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3494BA"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1A495C"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1A495C"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3494BA"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3494BA"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3494BA" w:themeColor="accent1" w:sz="4" w:space="4"/>
      </w:pBdr>
      <w:spacing w:before="200" w:after="280"/>
      <w:ind w:left="936" w:right="936"/>
    </w:pPr>
    <w:rPr>
      <w:b/>
      <w:bCs/>
      <w:i/>
      <w:iCs/>
      <w:color w:val="3494BA" w:themeColor="accent1"/>
    </w:rPr>
  </w:style>
  <w:style w:type="character" w:styleId="IntenseQuoteChar" w:customStyle="1">
    <w:name w:val="Intense Quote Char"/>
    <w:basedOn w:val="DefaultParagraphFont"/>
    <w:link w:val="IntenseQuote"/>
    <w:uiPriority w:val="30"/>
    <w:rsid w:val="00FC693F"/>
    <w:rPr>
      <w:b/>
      <w:bCs/>
      <w:i/>
      <w:iCs/>
      <w:color w:val="3494BA"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3494BA" w:themeColor="accent1"/>
    </w:rPr>
  </w:style>
  <w:style w:type="character" w:styleId="SubtleReference">
    <w:name w:val="Subtle Reference"/>
    <w:basedOn w:val="DefaultParagraphFont"/>
    <w:uiPriority w:val="31"/>
    <w:qFormat/>
    <w:rsid w:val="00FC693F"/>
    <w:rPr>
      <w:smallCaps/>
      <w:color w:val="58B6C0" w:themeColor="accent2"/>
      <w:u w:val="single"/>
    </w:rPr>
  </w:style>
  <w:style w:type="character" w:styleId="IntenseReference">
    <w:name w:val="Intense Reference"/>
    <w:basedOn w:val="DefaultParagraphFont"/>
    <w:uiPriority w:val="32"/>
    <w:qFormat/>
    <w:rsid w:val="00FC693F"/>
    <w:rPr>
      <w:b/>
      <w:bCs/>
      <w:smallCaps/>
      <w:color w:val="58B6C0"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76E8B" w:themeColor="accent1" w:themeShade="BF"/>
    </w:rPr>
    <w:tblPr>
      <w:tblStyleRowBandSize w:val="1"/>
      <w:tblStyleColBandSize w:val="1"/>
      <w:tblBorders>
        <w:top w:val="single" w:color="3494BA" w:themeColor="accent1" w:sz="8" w:space="0"/>
        <w:bottom w:val="single" w:color="3494BA" w:themeColor="accent1" w:sz="8" w:space="0"/>
      </w:tblBorders>
    </w:tblPr>
    <w:tblStylePr w:type="firstRow">
      <w:pPr>
        <w:spacing w:before="0" w:after="0" w:line="240" w:lineRule="auto"/>
      </w:pPr>
      <w:rPr>
        <w:b/>
        <w:bCs/>
      </w:rPr>
      <w:tblPr/>
      <w:tcPr>
        <w:tcBorders>
          <w:top w:val="single" w:color="3494BA" w:themeColor="accent1" w:sz="8" w:space="0"/>
          <w:left w:val="nil"/>
          <w:bottom w:val="single" w:color="3494BA" w:themeColor="accent1" w:sz="8" w:space="0"/>
          <w:right w:val="nil"/>
          <w:insideH w:val="nil"/>
          <w:insideV w:val="nil"/>
        </w:tcBorders>
      </w:tcPr>
    </w:tblStylePr>
    <w:tblStylePr w:type="lastRow">
      <w:pPr>
        <w:spacing w:before="0" w:after="0" w:line="240" w:lineRule="auto"/>
      </w:pPr>
      <w:rPr>
        <w:b/>
        <w:bCs/>
      </w:rPr>
      <w:tblPr/>
      <w:tcPr>
        <w:tcBorders>
          <w:top w:val="single" w:color="3494BA" w:themeColor="accent1" w:sz="8" w:space="0"/>
          <w:left w:val="nil"/>
          <w:bottom w:val="single" w:color="3494BA"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left w:val="nil"/>
          <w:right w:val="nil"/>
          <w:insideH w:val="nil"/>
          <w:insideV w:val="nil"/>
        </w:tcBorders>
        <w:shd w:val="clear" w:color="auto" w:fill="CAE5F0" w:themeFill="accent1" w:themeFillTint="3F"/>
      </w:tcPr>
    </w:tblStylePr>
  </w:style>
  <w:style w:type="table" w:styleId="LightShading-Accent2">
    <w:name w:val="Light Shading Accent 2"/>
    <w:basedOn w:val="TableNormal"/>
    <w:uiPriority w:val="60"/>
    <w:rsid w:val="00FC693F"/>
    <w:pPr>
      <w:spacing w:after="0" w:line="240" w:lineRule="auto"/>
    </w:pPr>
    <w:rPr>
      <w:color w:val="398E98" w:themeColor="accent2" w:themeShade="BF"/>
    </w:rPr>
    <w:tblPr>
      <w:tblStyleRowBandSize w:val="1"/>
      <w:tblStyleColBandSize w:val="1"/>
      <w:tblBorders>
        <w:top w:val="single" w:color="58B6C0" w:themeColor="accent2" w:sz="8" w:space="0"/>
        <w:bottom w:val="single" w:color="58B6C0" w:themeColor="accent2" w:sz="8" w:space="0"/>
      </w:tblBorders>
    </w:tblPr>
    <w:tblStylePr w:type="firstRow">
      <w:pPr>
        <w:spacing w:before="0" w:after="0" w:line="240" w:lineRule="auto"/>
      </w:pPr>
      <w:rPr>
        <w:b/>
        <w:bCs/>
      </w:rPr>
      <w:tblPr/>
      <w:tcPr>
        <w:tcBorders>
          <w:top w:val="single" w:color="58B6C0" w:themeColor="accent2" w:sz="8" w:space="0"/>
          <w:left w:val="nil"/>
          <w:bottom w:val="single" w:color="58B6C0" w:themeColor="accent2" w:sz="8" w:space="0"/>
          <w:right w:val="nil"/>
          <w:insideH w:val="nil"/>
          <w:insideV w:val="nil"/>
        </w:tcBorders>
      </w:tcPr>
    </w:tblStylePr>
    <w:tblStylePr w:type="lastRow">
      <w:pPr>
        <w:spacing w:before="0" w:after="0" w:line="240" w:lineRule="auto"/>
      </w:pPr>
      <w:rPr>
        <w:b/>
        <w:bCs/>
      </w:rPr>
      <w:tblPr/>
      <w:tcPr>
        <w:tcBorders>
          <w:top w:val="single" w:color="58B6C0" w:themeColor="accent2" w:sz="8" w:space="0"/>
          <w:left w:val="nil"/>
          <w:bottom w:val="single" w:color="58B6C0"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left w:val="nil"/>
          <w:right w:val="nil"/>
          <w:insideH w:val="nil"/>
          <w:insideV w:val="nil"/>
        </w:tcBorders>
        <w:shd w:val="clear" w:color="auto" w:fill="D5ECEF" w:themeFill="accent2" w:themeFillTint="3F"/>
      </w:tcPr>
    </w:tblStylePr>
  </w:style>
  <w:style w:type="table" w:styleId="LightShading-Accent3">
    <w:name w:val="Light Shading Accent 3"/>
    <w:basedOn w:val="TableNormal"/>
    <w:uiPriority w:val="60"/>
    <w:rsid w:val="00FC693F"/>
    <w:pPr>
      <w:spacing w:after="0" w:line="240" w:lineRule="auto"/>
    </w:pPr>
    <w:rPr>
      <w:color w:val="4A9A82" w:themeColor="accent3" w:themeShade="BF"/>
    </w:rPr>
    <w:tblPr>
      <w:tblStyleRowBandSize w:val="1"/>
      <w:tblStyleColBandSize w:val="1"/>
      <w:tblBorders>
        <w:top w:val="single" w:color="75BDA7" w:themeColor="accent3" w:sz="8" w:space="0"/>
        <w:bottom w:val="single" w:color="75BDA7" w:themeColor="accent3" w:sz="8" w:space="0"/>
      </w:tblBorders>
    </w:tblPr>
    <w:tblStylePr w:type="firstRow">
      <w:pPr>
        <w:spacing w:before="0" w:after="0" w:line="240" w:lineRule="auto"/>
      </w:pPr>
      <w:rPr>
        <w:b/>
        <w:bCs/>
      </w:rPr>
      <w:tblPr/>
      <w:tcPr>
        <w:tcBorders>
          <w:top w:val="single" w:color="75BDA7" w:themeColor="accent3" w:sz="8" w:space="0"/>
          <w:left w:val="nil"/>
          <w:bottom w:val="single" w:color="75BDA7" w:themeColor="accent3" w:sz="8" w:space="0"/>
          <w:right w:val="nil"/>
          <w:insideH w:val="nil"/>
          <w:insideV w:val="nil"/>
        </w:tcBorders>
      </w:tcPr>
    </w:tblStylePr>
    <w:tblStylePr w:type="lastRow">
      <w:pPr>
        <w:spacing w:before="0" w:after="0" w:line="240" w:lineRule="auto"/>
      </w:pPr>
      <w:rPr>
        <w:b/>
        <w:bCs/>
      </w:rPr>
      <w:tblPr/>
      <w:tcPr>
        <w:tcBorders>
          <w:top w:val="single" w:color="75BDA7" w:themeColor="accent3" w:sz="8" w:space="0"/>
          <w:left w:val="nil"/>
          <w:bottom w:val="single" w:color="75BDA7"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left w:val="nil"/>
          <w:right w:val="nil"/>
          <w:insideH w:val="nil"/>
          <w:insideV w:val="nil"/>
        </w:tcBorders>
        <w:shd w:val="clear" w:color="auto" w:fill="DCEEE9" w:themeFill="accent3" w:themeFillTint="3F"/>
      </w:tcPr>
    </w:tblStylePr>
  </w:style>
  <w:style w:type="table" w:styleId="LightShading-Accent4">
    <w:name w:val="Light Shading Accent 4"/>
    <w:basedOn w:val="TableNormal"/>
    <w:uiPriority w:val="60"/>
    <w:rsid w:val="00FC693F"/>
    <w:pPr>
      <w:spacing w:after="0" w:line="240" w:lineRule="auto"/>
    </w:pPr>
    <w:rPr>
      <w:color w:val="5A696A" w:themeColor="accent4" w:themeShade="BF"/>
    </w:rPr>
    <w:tblPr>
      <w:tblStyleRowBandSize w:val="1"/>
      <w:tblStyleColBandSize w:val="1"/>
      <w:tblBorders>
        <w:top w:val="single" w:color="7A8C8E" w:themeColor="accent4" w:sz="8" w:space="0"/>
        <w:bottom w:val="single" w:color="7A8C8E" w:themeColor="accent4" w:sz="8" w:space="0"/>
      </w:tblBorders>
    </w:tblPr>
    <w:tblStylePr w:type="firstRow">
      <w:pPr>
        <w:spacing w:before="0" w:after="0" w:line="240" w:lineRule="auto"/>
      </w:pPr>
      <w:rPr>
        <w:b/>
        <w:bCs/>
      </w:rPr>
      <w:tblPr/>
      <w:tcPr>
        <w:tcBorders>
          <w:top w:val="single" w:color="7A8C8E" w:themeColor="accent4" w:sz="8" w:space="0"/>
          <w:left w:val="nil"/>
          <w:bottom w:val="single" w:color="7A8C8E" w:themeColor="accent4" w:sz="8" w:space="0"/>
          <w:right w:val="nil"/>
          <w:insideH w:val="nil"/>
          <w:insideV w:val="nil"/>
        </w:tcBorders>
      </w:tcPr>
    </w:tblStylePr>
    <w:tblStylePr w:type="lastRow">
      <w:pPr>
        <w:spacing w:before="0" w:after="0" w:line="240" w:lineRule="auto"/>
      </w:pPr>
      <w:rPr>
        <w:b/>
        <w:bCs/>
      </w:rPr>
      <w:tblPr/>
      <w:tcPr>
        <w:tcBorders>
          <w:top w:val="single" w:color="7A8C8E" w:themeColor="accent4" w:sz="8" w:space="0"/>
          <w:left w:val="nil"/>
          <w:bottom w:val="single" w:color="7A8C8E"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left w:val="nil"/>
          <w:right w:val="nil"/>
          <w:insideH w:val="nil"/>
          <w:insideV w:val="nil"/>
        </w:tcBorders>
        <w:shd w:val="clear" w:color="auto" w:fill="DEE2E3" w:themeFill="accent4" w:themeFillTint="3F"/>
      </w:tcPr>
    </w:tblStylePr>
  </w:style>
  <w:style w:type="table" w:styleId="LightShading-Accent5">
    <w:name w:val="Light Shading Accent 5"/>
    <w:basedOn w:val="TableNormal"/>
    <w:uiPriority w:val="60"/>
    <w:rsid w:val="00FC693F"/>
    <w:pPr>
      <w:spacing w:after="0" w:line="240" w:lineRule="auto"/>
    </w:pPr>
    <w:rPr>
      <w:color w:val="578793" w:themeColor="accent5" w:themeShade="BF"/>
    </w:rPr>
    <w:tblPr>
      <w:tblStyleRowBandSize w:val="1"/>
      <w:tblStyleColBandSize w:val="1"/>
      <w:tblBorders>
        <w:top w:val="single" w:color="84ACB6" w:themeColor="accent5" w:sz="8" w:space="0"/>
        <w:bottom w:val="single" w:color="84ACB6" w:themeColor="accent5" w:sz="8" w:space="0"/>
      </w:tblBorders>
    </w:tblPr>
    <w:tblStylePr w:type="firstRow">
      <w:pPr>
        <w:spacing w:before="0" w:after="0" w:line="240" w:lineRule="auto"/>
      </w:pPr>
      <w:rPr>
        <w:b/>
        <w:bCs/>
      </w:rPr>
      <w:tblPr/>
      <w:tcPr>
        <w:tcBorders>
          <w:top w:val="single" w:color="84ACB6" w:themeColor="accent5" w:sz="8" w:space="0"/>
          <w:left w:val="nil"/>
          <w:bottom w:val="single" w:color="84ACB6" w:themeColor="accent5" w:sz="8" w:space="0"/>
          <w:right w:val="nil"/>
          <w:insideH w:val="nil"/>
          <w:insideV w:val="nil"/>
        </w:tcBorders>
      </w:tcPr>
    </w:tblStylePr>
    <w:tblStylePr w:type="lastRow">
      <w:pPr>
        <w:spacing w:before="0" w:after="0" w:line="240" w:lineRule="auto"/>
      </w:pPr>
      <w:rPr>
        <w:b/>
        <w:bCs/>
      </w:rPr>
      <w:tblPr/>
      <w:tcPr>
        <w:tcBorders>
          <w:top w:val="single" w:color="84ACB6" w:themeColor="accent5" w:sz="8" w:space="0"/>
          <w:left w:val="nil"/>
          <w:bottom w:val="single" w:color="84ACB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left w:val="nil"/>
          <w:right w:val="nil"/>
          <w:insideH w:val="nil"/>
          <w:insideV w:val="nil"/>
        </w:tcBorders>
        <w:shd w:val="clear" w:color="auto" w:fill="E0EAED" w:themeFill="accent5" w:themeFillTint="3F"/>
      </w:tcPr>
    </w:tblStylePr>
  </w:style>
  <w:style w:type="table" w:styleId="LightShading-Accent6">
    <w:name w:val="Light Shading Accent 6"/>
    <w:basedOn w:val="TableNormal"/>
    <w:uiPriority w:val="60"/>
    <w:rsid w:val="00FC693F"/>
    <w:pPr>
      <w:spacing w:after="0" w:line="240" w:lineRule="auto"/>
    </w:pPr>
    <w:rPr>
      <w:color w:val="1C6194" w:themeColor="accent6" w:themeShade="BF"/>
    </w:rPr>
    <w:tblPr>
      <w:tblStyleRowBandSize w:val="1"/>
      <w:tblStyleColBandSize w:val="1"/>
      <w:tblBorders>
        <w:top w:val="single" w:color="2683C6" w:themeColor="accent6" w:sz="8" w:space="0"/>
        <w:bottom w:val="single" w:color="2683C6" w:themeColor="accent6" w:sz="8" w:space="0"/>
      </w:tblBorders>
    </w:tblPr>
    <w:tblStylePr w:type="firstRow">
      <w:pPr>
        <w:spacing w:before="0" w:after="0" w:line="240" w:lineRule="auto"/>
      </w:pPr>
      <w:rPr>
        <w:b/>
        <w:bCs/>
      </w:rPr>
      <w:tblPr/>
      <w:tcPr>
        <w:tcBorders>
          <w:top w:val="single" w:color="2683C6" w:themeColor="accent6" w:sz="8" w:space="0"/>
          <w:left w:val="nil"/>
          <w:bottom w:val="single" w:color="2683C6" w:themeColor="accent6" w:sz="8" w:space="0"/>
          <w:right w:val="nil"/>
          <w:insideH w:val="nil"/>
          <w:insideV w:val="nil"/>
        </w:tcBorders>
      </w:tcPr>
    </w:tblStylePr>
    <w:tblStylePr w:type="lastRow">
      <w:pPr>
        <w:spacing w:before="0" w:after="0" w:line="240" w:lineRule="auto"/>
      </w:pPr>
      <w:rPr>
        <w:b/>
        <w:bCs/>
      </w:rPr>
      <w:tblPr/>
      <w:tcPr>
        <w:tcBorders>
          <w:top w:val="single" w:color="2683C6" w:themeColor="accent6" w:sz="8" w:space="0"/>
          <w:left w:val="nil"/>
          <w:bottom w:val="single" w:color="2683C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left w:val="nil"/>
          <w:right w:val="nil"/>
          <w:insideH w:val="nil"/>
          <w:insideV w:val="nil"/>
        </w:tcBorders>
        <w:shd w:val="clear" w:color="auto" w:fill="C5E0F4"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3494BA" w:themeColor="accent1" w:sz="8" w:space="0"/>
        <w:left w:val="single" w:color="3494BA" w:themeColor="accent1" w:sz="8" w:space="0"/>
        <w:bottom w:val="single" w:color="3494BA" w:themeColor="accent1" w:sz="8" w:space="0"/>
        <w:right w:val="single" w:color="3494BA" w:themeColor="accent1" w:sz="8" w:space="0"/>
      </w:tblBorders>
    </w:tblPr>
    <w:tblStylePr w:type="firstRow">
      <w:pPr>
        <w:spacing w:before="0" w:after="0" w:line="240" w:lineRule="auto"/>
      </w:pPr>
      <w:rPr>
        <w:b/>
        <w:bCs/>
        <w:color w:val="FFFFFF" w:themeColor="background1"/>
      </w:rPr>
      <w:tblPr/>
      <w:tcPr>
        <w:shd w:val="clear" w:color="auto" w:fill="3494BA" w:themeFill="accent1"/>
      </w:tcPr>
    </w:tblStylePr>
    <w:tblStylePr w:type="lastRow">
      <w:pPr>
        <w:spacing w:before="0" w:after="0" w:line="240" w:lineRule="auto"/>
      </w:pPr>
      <w:rPr>
        <w:b/>
        <w:bCs/>
      </w:rPr>
      <w:tblPr/>
      <w:tcPr>
        <w:tcBorders>
          <w:top w:val="double" w:color="3494BA" w:themeColor="accent1" w:sz="6" w:space="0"/>
          <w:left w:val="single" w:color="3494BA" w:themeColor="accent1" w:sz="8" w:space="0"/>
          <w:bottom w:val="single" w:color="3494BA" w:themeColor="accent1" w:sz="8" w:space="0"/>
          <w:right w:val="single" w:color="3494BA" w:themeColor="accent1" w:sz="8" w:space="0"/>
        </w:tcBorders>
      </w:tcPr>
    </w:tblStylePr>
    <w:tblStylePr w:type="firstCol">
      <w:rPr>
        <w:b/>
        <w:bCs/>
      </w:rPr>
    </w:tblStylePr>
    <w:tblStylePr w:type="lastCol">
      <w:rPr>
        <w:b/>
        <w:bCs/>
      </w:rPr>
    </w:tblStylePr>
    <w:tblStylePr w:type="band1Vert">
      <w:tblPr/>
      <w:tcPr>
        <w:tcBorders>
          <w:top w:val="single" w:color="3494BA" w:themeColor="accent1" w:sz="8" w:space="0"/>
          <w:left w:val="single" w:color="3494BA" w:themeColor="accent1" w:sz="8" w:space="0"/>
          <w:bottom w:val="single" w:color="3494BA" w:themeColor="accent1" w:sz="8" w:space="0"/>
          <w:right w:val="single" w:color="3494BA" w:themeColor="accent1" w:sz="8" w:space="0"/>
        </w:tcBorders>
      </w:tcPr>
    </w:tblStylePr>
    <w:tblStylePr w:type="band1Horz">
      <w:tblPr/>
      <w:tcPr>
        <w:tcBorders>
          <w:top w:val="single" w:color="3494BA" w:themeColor="accent1" w:sz="8" w:space="0"/>
          <w:left w:val="single" w:color="3494BA" w:themeColor="accent1" w:sz="8" w:space="0"/>
          <w:bottom w:val="single" w:color="3494BA" w:themeColor="accent1" w:sz="8" w:space="0"/>
          <w:right w:val="single" w:color="3494BA"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58B6C0" w:themeColor="accent2" w:sz="8" w:space="0"/>
        <w:left w:val="single" w:color="58B6C0" w:themeColor="accent2" w:sz="8" w:space="0"/>
        <w:bottom w:val="single" w:color="58B6C0" w:themeColor="accent2" w:sz="8" w:space="0"/>
        <w:right w:val="single" w:color="58B6C0" w:themeColor="accent2" w:sz="8" w:space="0"/>
      </w:tblBorders>
    </w:tblPr>
    <w:tblStylePr w:type="firstRow">
      <w:pPr>
        <w:spacing w:before="0" w:after="0" w:line="240" w:lineRule="auto"/>
      </w:pPr>
      <w:rPr>
        <w:b/>
        <w:bCs/>
        <w:color w:val="FFFFFF" w:themeColor="background1"/>
      </w:rPr>
      <w:tblPr/>
      <w:tcPr>
        <w:shd w:val="clear" w:color="auto" w:fill="58B6C0" w:themeFill="accent2"/>
      </w:tcPr>
    </w:tblStylePr>
    <w:tblStylePr w:type="lastRow">
      <w:pPr>
        <w:spacing w:before="0" w:after="0" w:line="240" w:lineRule="auto"/>
      </w:pPr>
      <w:rPr>
        <w:b/>
        <w:bCs/>
      </w:rPr>
      <w:tblPr/>
      <w:tcPr>
        <w:tcBorders>
          <w:top w:val="double" w:color="58B6C0" w:themeColor="accent2" w:sz="6" w:space="0"/>
          <w:left w:val="single" w:color="58B6C0" w:themeColor="accent2" w:sz="8" w:space="0"/>
          <w:bottom w:val="single" w:color="58B6C0" w:themeColor="accent2" w:sz="8" w:space="0"/>
          <w:right w:val="single" w:color="58B6C0" w:themeColor="accent2" w:sz="8" w:space="0"/>
        </w:tcBorders>
      </w:tcPr>
    </w:tblStylePr>
    <w:tblStylePr w:type="firstCol">
      <w:rPr>
        <w:b/>
        <w:bCs/>
      </w:rPr>
    </w:tblStylePr>
    <w:tblStylePr w:type="lastCol">
      <w:rPr>
        <w:b/>
        <w:bCs/>
      </w:rPr>
    </w:tblStylePr>
    <w:tblStylePr w:type="band1Vert">
      <w:tblPr/>
      <w:tcPr>
        <w:tcBorders>
          <w:top w:val="single" w:color="58B6C0" w:themeColor="accent2" w:sz="8" w:space="0"/>
          <w:left w:val="single" w:color="58B6C0" w:themeColor="accent2" w:sz="8" w:space="0"/>
          <w:bottom w:val="single" w:color="58B6C0" w:themeColor="accent2" w:sz="8" w:space="0"/>
          <w:right w:val="single" w:color="58B6C0" w:themeColor="accent2" w:sz="8" w:space="0"/>
        </w:tcBorders>
      </w:tcPr>
    </w:tblStylePr>
    <w:tblStylePr w:type="band1Horz">
      <w:tblPr/>
      <w:tcPr>
        <w:tcBorders>
          <w:top w:val="single" w:color="58B6C0" w:themeColor="accent2" w:sz="8" w:space="0"/>
          <w:left w:val="single" w:color="58B6C0" w:themeColor="accent2" w:sz="8" w:space="0"/>
          <w:bottom w:val="single" w:color="58B6C0" w:themeColor="accent2" w:sz="8" w:space="0"/>
          <w:right w:val="single" w:color="58B6C0"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75BDA7" w:themeColor="accent3" w:sz="8" w:space="0"/>
        <w:left w:val="single" w:color="75BDA7" w:themeColor="accent3" w:sz="8" w:space="0"/>
        <w:bottom w:val="single" w:color="75BDA7" w:themeColor="accent3" w:sz="8" w:space="0"/>
        <w:right w:val="single" w:color="75BDA7" w:themeColor="accent3" w:sz="8" w:space="0"/>
      </w:tblBorders>
    </w:tblPr>
    <w:tblStylePr w:type="firstRow">
      <w:pPr>
        <w:spacing w:before="0" w:after="0" w:line="240" w:lineRule="auto"/>
      </w:pPr>
      <w:rPr>
        <w:b/>
        <w:bCs/>
        <w:color w:val="FFFFFF" w:themeColor="background1"/>
      </w:rPr>
      <w:tblPr/>
      <w:tcPr>
        <w:shd w:val="clear" w:color="auto" w:fill="75BDA7" w:themeFill="accent3"/>
      </w:tcPr>
    </w:tblStylePr>
    <w:tblStylePr w:type="lastRow">
      <w:pPr>
        <w:spacing w:before="0" w:after="0" w:line="240" w:lineRule="auto"/>
      </w:pPr>
      <w:rPr>
        <w:b/>
        <w:bCs/>
      </w:rPr>
      <w:tblPr/>
      <w:tcPr>
        <w:tcBorders>
          <w:top w:val="double" w:color="75BDA7" w:themeColor="accent3" w:sz="6" w:space="0"/>
          <w:left w:val="single" w:color="75BDA7" w:themeColor="accent3" w:sz="8" w:space="0"/>
          <w:bottom w:val="single" w:color="75BDA7" w:themeColor="accent3" w:sz="8" w:space="0"/>
          <w:right w:val="single" w:color="75BDA7" w:themeColor="accent3" w:sz="8" w:space="0"/>
        </w:tcBorders>
      </w:tcPr>
    </w:tblStylePr>
    <w:tblStylePr w:type="firstCol">
      <w:rPr>
        <w:b/>
        <w:bCs/>
      </w:rPr>
    </w:tblStylePr>
    <w:tblStylePr w:type="lastCol">
      <w:rPr>
        <w:b/>
        <w:bCs/>
      </w:rPr>
    </w:tblStylePr>
    <w:tblStylePr w:type="band1Vert">
      <w:tblPr/>
      <w:tcPr>
        <w:tcBorders>
          <w:top w:val="single" w:color="75BDA7" w:themeColor="accent3" w:sz="8" w:space="0"/>
          <w:left w:val="single" w:color="75BDA7" w:themeColor="accent3" w:sz="8" w:space="0"/>
          <w:bottom w:val="single" w:color="75BDA7" w:themeColor="accent3" w:sz="8" w:space="0"/>
          <w:right w:val="single" w:color="75BDA7" w:themeColor="accent3" w:sz="8" w:space="0"/>
        </w:tcBorders>
      </w:tcPr>
    </w:tblStylePr>
    <w:tblStylePr w:type="band1Horz">
      <w:tblPr/>
      <w:tcPr>
        <w:tcBorders>
          <w:top w:val="single" w:color="75BDA7" w:themeColor="accent3" w:sz="8" w:space="0"/>
          <w:left w:val="single" w:color="75BDA7" w:themeColor="accent3" w:sz="8" w:space="0"/>
          <w:bottom w:val="single" w:color="75BDA7" w:themeColor="accent3" w:sz="8" w:space="0"/>
          <w:right w:val="single" w:color="75BDA7"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7A8C8E" w:themeColor="accent4" w:sz="8" w:space="0"/>
        <w:left w:val="single" w:color="7A8C8E" w:themeColor="accent4" w:sz="8" w:space="0"/>
        <w:bottom w:val="single" w:color="7A8C8E" w:themeColor="accent4" w:sz="8" w:space="0"/>
        <w:right w:val="single" w:color="7A8C8E" w:themeColor="accent4" w:sz="8" w:space="0"/>
      </w:tblBorders>
    </w:tblPr>
    <w:tblStylePr w:type="firstRow">
      <w:pPr>
        <w:spacing w:before="0" w:after="0" w:line="240" w:lineRule="auto"/>
      </w:pPr>
      <w:rPr>
        <w:b/>
        <w:bCs/>
        <w:color w:val="FFFFFF" w:themeColor="background1"/>
      </w:rPr>
      <w:tblPr/>
      <w:tcPr>
        <w:shd w:val="clear" w:color="auto" w:fill="7A8C8E" w:themeFill="accent4"/>
      </w:tcPr>
    </w:tblStylePr>
    <w:tblStylePr w:type="lastRow">
      <w:pPr>
        <w:spacing w:before="0" w:after="0" w:line="240" w:lineRule="auto"/>
      </w:pPr>
      <w:rPr>
        <w:b/>
        <w:bCs/>
      </w:rPr>
      <w:tblPr/>
      <w:tcPr>
        <w:tcBorders>
          <w:top w:val="double" w:color="7A8C8E" w:themeColor="accent4" w:sz="6" w:space="0"/>
          <w:left w:val="single" w:color="7A8C8E" w:themeColor="accent4" w:sz="8" w:space="0"/>
          <w:bottom w:val="single" w:color="7A8C8E" w:themeColor="accent4" w:sz="8" w:space="0"/>
          <w:right w:val="single" w:color="7A8C8E" w:themeColor="accent4" w:sz="8" w:space="0"/>
        </w:tcBorders>
      </w:tcPr>
    </w:tblStylePr>
    <w:tblStylePr w:type="firstCol">
      <w:rPr>
        <w:b/>
        <w:bCs/>
      </w:rPr>
    </w:tblStylePr>
    <w:tblStylePr w:type="lastCol">
      <w:rPr>
        <w:b/>
        <w:bCs/>
      </w:rPr>
    </w:tblStylePr>
    <w:tblStylePr w:type="band1Vert">
      <w:tblPr/>
      <w:tcPr>
        <w:tcBorders>
          <w:top w:val="single" w:color="7A8C8E" w:themeColor="accent4" w:sz="8" w:space="0"/>
          <w:left w:val="single" w:color="7A8C8E" w:themeColor="accent4" w:sz="8" w:space="0"/>
          <w:bottom w:val="single" w:color="7A8C8E" w:themeColor="accent4" w:sz="8" w:space="0"/>
          <w:right w:val="single" w:color="7A8C8E" w:themeColor="accent4" w:sz="8" w:space="0"/>
        </w:tcBorders>
      </w:tcPr>
    </w:tblStylePr>
    <w:tblStylePr w:type="band1Horz">
      <w:tblPr/>
      <w:tcPr>
        <w:tcBorders>
          <w:top w:val="single" w:color="7A8C8E" w:themeColor="accent4" w:sz="8" w:space="0"/>
          <w:left w:val="single" w:color="7A8C8E" w:themeColor="accent4" w:sz="8" w:space="0"/>
          <w:bottom w:val="single" w:color="7A8C8E" w:themeColor="accent4" w:sz="8" w:space="0"/>
          <w:right w:val="single" w:color="7A8C8E"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84ACB6" w:themeColor="accent5" w:sz="8" w:space="0"/>
        <w:left w:val="single" w:color="84ACB6" w:themeColor="accent5" w:sz="8" w:space="0"/>
        <w:bottom w:val="single" w:color="84ACB6" w:themeColor="accent5" w:sz="8" w:space="0"/>
        <w:right w:val="single" w:color="84ACB6" w:themeColor="accent5" w:sz="8" w:space="0"/>
      </w:tblBorders>
    </w:tblPr>
    <w:tblStylePr w:type="firstRow">
      <w:pPr>
        <w:spacing w:before="0" w:after="0" w:line="240" w:lineRule="auto"/>
      </w:pPr>
      <w:rPr>
        <w:b/>
        <w:bCs/>
        <w:color w:val="FFFFFF" w:themeColor="background1"/>
      </w:rPr>
      <w:tblPr/>
      <w:tcPr>
        <w:shd w:val="clear" w:color="auto" w:fill="84ACB6" w:themeFill="accent5"/>
      </w:tcPr>
    </w:tblStylePr>
    <w:tblStylePr w:type="lastRow">
      <w:pPr>
        <w:spacing w:before="0" w:after="0" w:line="240" w:lineRule="auto"/>
      </w:pPr>
      <w:rPr>
        <w:b/>
        <w:bCs/>
      </w:rPr>
      <w:tblPr/>
      <w:tcPr>
        <w:tcBorders>
          <w:top w:val="double" w:color="84ACB6" w:themeColor="accent5" w:sz="6" w:space="0"/>
          <w:left w:val="single" w:color="84ACB6" w:themeColor="accent5" w:sz="8" w:space="0"/>
          <w:bottom w:val="single" w:color="84ACB6" w:themeColor="accent5" w:sz="8" w:space="0"/>
          <w:right w:val="single" w:color="84ACB6" w:themeColor="accent5" w:sz="8" w:space="0"/>
        </w:tcBorders>
      </w:tcPr>
    </w:tblStylePr>
    <w:tblStylePr w:type="firstCol">
      <w:rPr>
        <w:b/>
        <w:bCs/>
      </w:rPr>
    </w:tblStylePr>
    <w:tblStylePr w:type="lastCol">
      <w:rPr>
        <w:b/>
        <w:bCs/>
      </w:rPr>
    </w:tblStylePr>
    <w:tblStylePr w:type="band1Vert">
      <w:tblPr/>
      <w:tcPr>
        <w:tcBorders>
          <w:top w:val="single" w:color="84ACB6" w:themeColor="accent5" w:sz="8" w:space="0"/>
          <w:left w:val="single" w:color="84ACB6" w:themeColor="accent5" w:sz="8" w:space="0"/>
          <w:bottom w:val="single" w:color="84ACB6" w:themeColor="accent5" w:sz="8" w:space="0"/>
          <w:right w:val="single" w:color="84ACB6" w:themeColor="accent5" w:sz="8" w:space="0"/>
        </w:tcBorders>
      </w:tcPr>
    </w:tblStylePr>
    <w:tblStylePr w:type="band1Horz">
      <w:tblPr/>
      <w:tcPr>
        <w:tcBorders>
          <w:top w:val="single" w:color="84ACB6" w:themeColor="accent5" w:sz="8" w:space="0"/>
          <w:left w:val="single" w:color="84ACB6" w:themeColor="accent5" w:sz="8" w:space="0"/>
          <w:bottom w:val="single" w:color="84ACB6" w:themeColor="accent5" w:sz="8" w:space="0"/>
          <w:right w:val="single" w:color="84ACB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2683C6" w:themeColor="accent6" w:sz="8" w:space="0"/>
        <w:left w:val="single" w:color="2683C6" w:themeColor="accent6" w:sz="8" w:space="0"/>
        <w:bottom w:val="single" w:color="2683C6" w:themeColor="accent6" w:sz="8" w:space="0"/>
        <w:right w:val="single" w:color="2683C6" w:themeColor="accent6" w:sz="8" w:space="0"/>
      </w:tblBorders>
    </w:tblPr>
    <w:tblStylePr w:type="firstRow">
      <w:pPr>
        <w:spacing w:before="0" w:after="0" w:line="240" w:lineRule="auto"/>
      </w:pPr>
      <w:rPr>
        <w:b/>
        <w:bCs/>
        <w:color w:val="FFFFFF" w:themeColor="background1"/>
      </w:rPr>
      <w:tblPr/>
      <w:tcPr>
        <w:shd w:val="clear" w:color="auto" w:fill="2683C6" w:themeFill="accent6"/>
      </w:tcPr>
    </w:tblStylePr>
    <w:tblStylePr w:type="lastRow">
      <w:pPr>
        <w:spacing w:before="0" w:after="0" w:line="240" w:lineRule="auto"/>
      </w:pPr>
      <w:rPr>
        <w:b/>
        <w:bCs/>
      </w:rPr>
      <w:tblPr/>
      <w:tcPr>
        <w:tcBorders>
          <w:top w:val="double" w:color="2683C6" w:themeColor="accent6" w:sz="6" w:space="0"/>
          <w:left w:val="single" w:color="2683C6" w:themeColor="accent6" w:sz="8" w:space="0"/>
          <w:bottom w:val="single" w:color="2683C6" w:themeColor="accent6" w:sz="8" w:space="0"/>
          <w:right w:val="single" w:color="2683C6" w:themeColor="accent6" w:sz="8" w:space="0"/>
        </w:tcBorders>
      </w:tcPr>
    </w:tblStylePr>
    <w:tblStylePr w:type="firstCol">
      <w:rPr>
        <w:b/>
        <w:bCs/>
      </w:rPr>
    </w:tblStylePr>
    <w:tblStylePr w:type="lastCol">
      <w:rPr>
        <w:b/>
        <w:bCs/>
      </w:rPr>
    </w:tblStylePr>
    <w:tblStylePr w:type="band1Vert">
      <w:tblPr/>
      <w:tcPr>
        <w:tcBorders>
          <w:top w:val="single" w:color="2683C6" w:themeColor="accent6" w:sz="8" w:space="0"/>
          <w:left w:val="single" w:color="2683C6" w:themeColor="accent6" w:sz="8" w:space="0"/>
          <w:bottom w:val="single" w:color="2683C6" w:themeColor="accent6" w:sz="8" w:space="0"/>
          <w:right w:val="single" w:color="2683C6" w:themeColor="accent6" w:sz="8" w:space="0"/>
        </w:tcBorders>
      </w:tcPr>
    </w:tblStylePr>
    <w:tblStylePr w:type="band1Horz">
      <w:tblPr/>
      <w:tcPr>
        <w:tcBorders>
          <w:top w:val="single" w:color="2683C6" w:themeColor="accent6" w:sz="8" w:space="0"/>
          <w:left w:val="single" w:color="2683C6" w:themeColor="accent6" w:sz="8" w:space="0"/>
          <w:bottom w:val="single" w:color="2683C6" w:themeColor="accent6" w:sz="8" w:space="0"/>
          <w:right w:val="single" w:color="2683C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3494BA" w:themeColor="accent1" w:sz="8" w:space="0"/>
        <w:left w:val="single" w:color="3494BA" w:themeColor="accent1" w:sz="8" w:space="0"/>
        <w:bottom w:val="single" w:color="3494BA" w:themeColor="accent1" w:sz="8" w:space="0"/>
        <w:right w:val="single" w:color="3494BA" w:themeColor="accent1" w:sz="8" w:space="0"/>
        <w:insideH w:val="single" w:color="3494BA" w:themeColor="accent1" w:sz="8" w:space="0"/>
        <w:insideV w:val="single" w:color="3494BA"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494BA" w:themeColor="accent1" w:sz="8" w:space="0"/>
          <w:left w:val="single" w:color="3494BA" w:themeColor="accent1" w:sz="8" w:space="0"/>
          <w:bottom w:val="single" w:color="3494BA" w:themeColor="accent1" w:sz="18" w:space="0"/>
          <w:right w:val="single" w:color="3494BA" w:themeColor="accent1" w:sz="8" w:space="0"/>
          <w:insideH w:val="nil"/>
          <w:insideV w:val="single" w:color="3494BA"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494BA" w:themeColor="accent1" w:sz="6" w:space="0"/>
          <w:left w:val="single" w:color="3494BA" w:themeColor="accent1" w:sz="8" w:space="0"/>
          <w:bottom w:val="single" w:color="3494BA" w:themeColor="accent1" w:sz="8" w:space="0"/>
          <w:right w:val="single" w:color="3494BA" w:themeColor="accent1" w:sz="8" w:space="0"/>
          <w:insideH w:val="nil"/>
          <w:insideV w:val="single" w:color="3494BA"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494BA" w:themeColor="accent1" w:sz="8" w:space="0"/>
          <w:left w:val="single" w:color="3494BA" w:themeColor="accent1" w:sz="8" w:space="0"/>
          <w:bottom w:val="single" w:color="3494BA" w:themeColor="accent1" w:sz="8" w:space="0"/>
          <w:right w:val="single" w:color="3494BA" w:themeColor="accent1" w:sz="8" w:space="0"/>
        </w:tcBorders>
      </w:tcPr>
    </w:tblStylePr>
    <w:tblStylePr w:type="band1Vert">
      <w:tblPr/>
      <w:tcPr>
        <w:tcBorders>
          <w:top w:val="single" w:color="3494BA" w:themeColor="accent1" w:sz="8" w:space="0"/>
          <w:left w:val="single" w:color="3494BA" w:themeColor="accent1" w:sz="8" w:space="0"/>
          <w:bottom w:val="single" w:color="3494BA" w:themeColor="accent1" w:sz="8" w:space="0"/>
          <w:right w:val="single" w:color="3494BA" w:themeColor="accent1" w:sz="8" w:space="0"/>
        </w:tcBorders>
        <w:shd w:val="clear" w:color="auto" w:fill="CAE5F0" w:themeFill="accent1" w:themeFillTint="3F"/>
      </w:tcPr>
    </w:tblStylePr>
    <w:tblStylePr w:type="band1Horz">
      <w:tblPr/>
      <w:tcPr>
        <w:tcBorders>
          <w:top w:val="single" w:color="3494BA" w:themeColor="accent1" w:sz="8" w:space="0"/>
          <w:left w:val="single" w:color="3494BA" w:themeColor="accent1" w:sz="8" w:space="0"/>
          <w:bottom w:val="single" w:color="3494BA" w:themeColor="accent1" w:sz="8" w:space="0"/>
          <w:right w:val="single" w:color="3494BA" w:themeColor="accent1" w:sz="8" w:space="0"/>
          <w:insideV w:val="single" w:color="3494BA" w:themeColor="accent1" w:sz="8" w:space="0"/>
        </w:tcBorders>
        <w:shd w:val="clear" w:color="auto" w:fill="CAE5F0" w:themeFill="accent1" w:themeFillTint="3F"/>
      </w:tcPr>
    </w:tblStylePr>
    <w:tblStylePr w:type="band2Horz">
      <w:tblPr/>
      <w:tcPr>
        <w:tcBorders>
          <w:top w:val="single" w:color="3494BA" w:themeColor="accent1" w:sz="8" w:space="0"/>
          <w:left w:val="single" w:color="3494BA" w:themeColor="accent1" w:sz="8" w:space="0"/>
          <w:bottom w:val="single" w:color="3494BA" w:themeColor="accent1" w:sz="8" w:space="0"/>
          <w:right w:val="single" w:color="3494BA" w:themeColor="accent1" w:sz="8" w:space="0"/>
          <w:insideV w:val="single" w:color="3494BA"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58B6C0" w:themeColor="accent2" w:sz="8" w:space="0"/>
        <w:left w:val="single" w:color="58B6C0" w:themeColor="accent2" w:sz="8" w:space="0"/>
        <w:bottom w:val="single" w:color="58B6C0" w:themeColor="accent2" w:sz="8" w:space="0"/>
        <w:right w:val="single" w:color="58B6C0" w:themeColor="accent2" w:sz="8" w:space="0"/>
        <w:insideH w:val="single" w:color="58B6C0" w:themeColor="accent2" w:sz="8" w:space="0"/>
        <w:insideV w:val="single" w:color="58B6C0"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8B6C0" w:themeColor="accent2" w:sz="8" w:space="0"/>
          <w:left w:val="single" w:color="58B6C0" w:themeColor="accent2" w:sz="8" w:space="0"/>
          <w:bottom w:val="single" w:color="58B6C0" w:themeColor="accent2" w:sz="18" w:space="0"/>
          <w:right w:val="single" w:color="58B6C0" w:themeColor="accent2" w:sz="8" w:space="0"/>
          <w:insideH w:val="nil"/>
          <w:insideV w:val="single" w:color="58B6C0"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8B6C0" w:themeColor="accent2" w:sz="6" w:space="0"/>
          <w:left w:val="single" w:color="58B6C0" w:themeColor="accent2" w:sz="8" w:space="0"/>
          <w:bottom w:val="single" w:color="58B6C0" w:themeColor="accent2" w:sz="8" w:space="0"/>
          <w:right w:val="single" w:color="58B6C0" w:themeColor="accent2" w:sz="8" w:space="0"/>
          <w:insideH w:val="nil"/>
          <w:insideV w:val="single" w:color="58B6C0"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8B6C0" w:themeColor="accent2" w:sz="8" w:space="0"/>
          <w:left w:val="single" w:color="58B6C0" w:themeColor="accent2" w:sz="8" w:space="0"/>
          <w:bottom w:val="single" w:color="58B6C0" w:themeColor="accent2" w:sz="8" w:space="0"/>
          <w:right w:val="single" w:color="58B6C0" w:themeColor="accent2" w:sz="8" w:space="0"/>
        </w:tcBorders>
      </w:tcPr>
    </w:tblStylePr>
    <w:tblStylePr w:type="band1Vert">
      <w:tblPr/>
      <w:tcPr>
        <w:tcBorders>
          <w:top w:val="single" w:color="58B6C0" w:themeColor="accent2" w:sz="8" w:space="0"/>
          <w:left w:val="single" w:color="58B6C0" w:themeColor="accent2" w:sz="8" w:space="0"/>
          <w:bottom w:val="single" w:color="58B6C0" w:themeColor="accent2" w:sz="8" w:space="0"/>
          <w:right w:val="single" w:color="58B6C0" w:themeColor="accent2" w:sz="8" w:space="0"/>
        </w:tcBorders>
        <w:shd w:val="clear" w:color="auto" w:fill="D5ECEF" w:themeFill="accent2" w:themeFillTint="3F"/>
      </w:tcPr>
    </w:tblStylePr>
    <w:tblStylePr w:type="band1Horz">
      <w:tblPr/>
      <w:tcPr>
        <w:tcBorders>
          <w:top w:val="single" w:color="58B6C0" w:themeColor="accent2" w:sz="8" w:space="0"/>
          <w:left w:val="single" w:color="58B6C0" w:themeColor="accent2" w:sz="8" w:space="0"/>
          <w:bottom w:val="single" w:color="58B6C0" w:themeColor="accent2" w:sz="8" w:space="0"/>
          <w:right w:val="single" w:color="58B6C0" w:themeColor="accent2" w:sz="8" w:space="0"/>
          <w:insideV w:val="single" w:color="58B6C0" w:themeColor="accent2" w:sz="8" w:space="0"/>
        </w:tcBorders>
        <w:shd w:val="clear" w:color="auto" w:fill="D5ECEF" w:themeFill="accent2" w:themeFillTint="3F"/>
      </w:tcPr>
    </w:tblStylePr>
    <w:tblStylePr w:type="band2Horz">
      <w:tblPr/>
      <w:tcPr>
        <w:tcBorders>
          <w:top w:val="single" w:color="58B6C0" w:themeColor="accent2" w:sz="8" w:space="0"/>
          <w:left w:val="single" w:color="58B6C0" w:themeColor="accent2" w:sz="8" w:space="0"/>
          <w:bottom w:val="single" w:color="58B6C0" w:themeColor="accent2" w:sz="8" w:space="0"/>
          <w:right w:val="single" w:color="58B6C0" w:themeColor="accent2" w:sz="8" w:space="0"/>
          <w:insideV w:val="single" w:color="58B6C0"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75BDA7" w:themeColor="accent3" w:sz="8" w:space="0"/>
        <w:left w:val="single" w:color="75BDA7" w:themeColor="accent3" w:sz="8" w:space="0"/>
        <w:bottom w:val="single" w:color="75BDA7" w:themeColor="accent3" w:sz="8" w:space="0"/>
        <w:right w:val="single" w:color="75BDA7" w:themeColor="accent3" w:sz="8" w:space="0"/>
        <w:insideH w:val="single" w:color="75BDA7" w:themeColor="accent3" w:sz="8" w:space="0"/>
        <w:insideV w:val="single" w:color="75BDA7"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5BDA7" w:themeColor="accent3" w:sz="8" w:space="0"/>
          <w:left w:val="single" w:color="75BDA7" w:themeColor="accent3" w:sz="8" w:space="0"/>
          <w:bottom w:val="single" w:color="75BDA7" w:themeColor="accent3" w:sz="18" w:space="0"/>
          <w:right w:val="single" w:color="75BDA7" w:themeColor="accent3" w:sz="8" w:space="0"/>
          <w:insideH w:val="nil"/>
          <w:insideV w:val="single" w:color="75BDA7"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5BDA7" w:themeColor="accent3" w:sz="6" w:space="0"/>
          <w:left w:val="single" w:color="75BDA7" w:themeColor="accent3" w:sz="8" w:space="0"/>
          <w:bottom w:val="single" w:color="75BDA7" w:themeColor="accent3" w:sz="8" w:space="0"/>
          <w:right w:val="single" w:color="75BDA7" w:themeColor="accent3" w:sz="8" w:space="0"/>
          <w:insideH w:val="nil"/>
          <w:insideV w:val="single" w:color="75BDA7"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5BDA7" w:themeColor="accent3" w:sz="8" w:space="0"/>
          <w:left w:val="single" w:color="75BDA7" w:themeColor="accent3" w:sz="8" w:space="0"/>
          <w:bottom w:val="single" w:color="75BDA7" w:themeColor="accent3" w:sz="8" w:space="0"/>
          <w:right w:val="single" w:color="75BDA7" w:themeColor="accent3" w:sz="8" w:space="0"/>
        </w:tcBorders>
      </w:tcPr>
    </w:tblStylePr>
    <w:tblStylePr w:type="band1Vert">
      <w:tblPr/>
      <w:tcPr>
        <w:tcBorders>
          <w:top w:val="single" w:color="75BDA7" w:themeColor="accent3" w:sz="8" w:space="0"/>
          <w:left w:val="single" w:color="75BDA7" w:themeColor="accent3" w:sz="8" w:space="0"/>
          <w:bottom w:val="single" w:color="75BDA7" w:themeColor="accent3" w:sz="8" w:space="0"/>
          <w:right w:val="single" w:color="75BDA7" w:themeColor="accent3" w:sz="8" w:space="0"/>
        </w:tcBorders>
        <w:shd w:val="clear" w:color="auto" w:fill="DCEEE9" w:themeFill="accent3" w:themeFillTint="3F"/>
      </w:tcPr>
    </w:tblStylePr>
    <w:tblStylePr w:type="band1Horz">
      <w:tblPr/>
      <w:tcPr>
        <w:tcBorders>
          <w:top w:val="single" w:color="75BDA7" w:themeColor="accent3" w:sz="8" w:space="0"/>
          <w:left w:val="single" w:color="75BDA7" w:themeColor="accent3" w:sz="8" w:space="0"/>
          <w:bottom w:val="single" w:color="75BDA7" w:themeColor="accent3" w:sz="8" w:space="0"/>
          <w:right w:val="single" w:color="75BDA7" w:themeColor="accent3" w:sz="8" w:space="0"/>
          <w:insideV w:val="single" w:color="75BDA7" w:themeColor="accent3" w:sz="8" w:space="0"/>
        </w:tcBorders>
        <w:shd w:val="clear" w:color="auto" w:fill="DCEEE9" w:themeFill="accent3" w:themeFillTint="3F"/>
      </w:tcPr>
    </w:tblStylePr>
    <w:tblStylePr w:type="band2Horz">
      <w:tblPr/>
      <w:tcPr>
        <w:tcBorders>
          <w:top w:val="single" w:color="75BDA7" w:themeColor="accent3" w:sz="8" w:space="0"/>
          <w:left w:val="single" w:color="75BDA7" w:themeColor="accent3" w:sz="8" w:space="0"/>
          <w:bottom w:val="single" w:color="75BDA7" w:themeColor="accent3" w:sz="8" w:space="0"/>
          <w:right w:val="single" w:color="75BDA7" w:themeColor="accent3" w:sz="8" w:space="0"/>
          <w:insideV w:val="single" w:color="75BDA7"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7A8C8E" w:themeColor="accent4" w:sz="8" w:space="0"/>
        <w:left w:val="single" w:color="7A8C8E" w:themeColor="accent4" w:sz="8" w:space="0"/>
        <w:bottom w:val="single" w:color="7A8C8E" w:themeColor="accent4" w:sz="8" w:space="0"/>
        <w:right w:val="single" w:color="7A8C8E" w:themeColor="accent4" w:sz="8" w:space="0"/>
        <w:insideH w:val="single" w:color="7A8C8E" w:themeColor="accent4" w:sz="8" w:space="0"/>
        <w:insideV w:val="single" w:color="7A8C8E"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A8C8E" w:themeColor="accent4" w:sz="8" w:space="0"/>
          <w:left w:val="single" w:color="7A8C8E" w:themeColor="accent4" w:sz="8" w:space="0"/>
          <w:bottom w:val="single" w:color="7A8C8E" w:themeColor="accent4" w:sz="18" w:space="0"/>
          <w:right w:val="single" w:color="7A8C8E" w:themeColor="accent4" w:sz="8" w:space="0"/>
          <w:insideH w:val="nil"/>
          <w:insideV w:val="single" w:color="7A8C8E"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A8C8E" w:themeColor="accent4" w:sz="6" w:space="0"/>
          <w:left w:val="single" w:color="7A8C8E" w:themeColor="accent4" w:sz="8" w:space="0"/>
          <w:bottom w:val="single" w:color="7A8C8E" w:themeColor="accent4" w:sz="8" w:space="0"/>
          <w:right w:val="single" w:color="7A8C8E" w:themeColor="accent4" w:sz="8" w:space="0"/>
          <w:insideH w:val="nil"/>
          <w:insideV w:val="single" w:color="7A8C8E"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A8C8E" w:themeColor="accent4" w:sz="8" w:space="0"/>
          <w:left w:val="single" w:color="7A8C8E" w:themeColor="accent4" w:sz="8" w:space="0"/>
          <w:bottom w:val="single" w:color="7A8C8E" w:themeColor="accent4" w:sz="8" w:space="0"/>
          <w:right w:val="single" w:color="7A8C8E" w:themeColor="accent4" w:sz="8" w:space="0"/>
        </w:tcBorders>
      </w:tcPr>
    </w:tblStylePr>
    <w:tblStylePr w:type="band1Vert">
      <w:tblPr/>
      <w:tcPr>
        <w:tcBorders>
          <w:top w:val="single" w:color="7A8C8E" w:themeColor="accent4" w:sz="8" w:space="0"/>
          <w:left w:val="single" w:color="7A8C8E" w:themeColor="accent4" w:sz="8" w:space="0"/>
          <w:bottom w:val="single" w:color="7A8C8E" w:themeColor="accent4" w:sz="8" w:space="0"/>
          <w:right w:val="single" w:color="7A8C8E" w:themeColor="accent4" w:sz="8" w:space="0"/>
        </w:tcBorders>
        <w:shd w:val="clear" w:color="auto" w:fill="DEE2E3" w:themeFill="accent4" w:themeFillTint="3F"/>
      </w:tcPr>
    </w:tblStylePr>
    <w:tblStylePr w:type="band1Horz">
      <w:tblPr/>
      <w:tcPr>
        <w:tcBorders>
          <w:top w:val="single" w:color="7A8C8E" w:themeColor="accent4" w:sz="8" w:space="0"/>
          <w:left w:val="single" w:color="7A8C8E" w:themeColor="accent4" w:sz="8" w:space="0"/>
          <w:bottom w:val="single" w:color="7A8C8E" w:themeColor="accent4" w:sz="8" w:space="0"/>
          <w:right w:val="single" w:color="7A8C8E" w:themeColor="accent4" w:sz="8" w:space="0"/>
          <w:insideV w:val="single" w:color="7A8C8E" w:themeColor="accent4" w:sz="8" w:space="0"/>
        </w:tcBorders>
        <w:shd w:val="clear" w:color="auto" w:fill="DEE2E3" w:themeFill="accent4" w:themeFillTint="3F"/>
      </w:tcPr>
    </w:tblStylePr>
    <w:tblStylePr w:type="band2Horz">
      <w:tblPr/>
      <w:tcPr>
        <w:tcBorders>
          <w:top w:val="single" w:color="7A8C8E" w:themeColor="accent4" w:sz="8" w:space="0"/>
          <w:left w:val="single" w:color="7A8C8E" w:themeColor="accent4" w:sz="8" w:space="0"/>
          <w:bottom w:val="single" w:color="7A8C8E" w:themeColor="accent4" w:sz="8" w:space="0"/>
          <w:right w:val="single" w:color="7A8C8E" w:themeColor="accent4" w:sz="8" w:space="0"/>
          <w:insideV w:val="single" w:color="7A8C8E"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84ACB6" w:themeColor="accent5" w:sz="8" w:space="0"/>
        <w:left w:val="single" w:color="84ACB6" w:themeColor="accent5" w:sz="8" w:space="0"/>
        <w:bottom w:val="single" w:color="84ACB6" w:themeColor="accent5" w:sz="8" w:space="0"/>
        <w:right w:val="single" w:color="84ACB6" w:themeColor="accent5" w:sz="8" w:space="0"/>
        <w:insideH w:val="single" w:color="84ACB6" w:themeColor="accent5" w:sz="8" w:space="0"/>
        <w:insideV w:val="single" w:color="84ACB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4ACB6" w:themeColor="accent5" w:sz="8" w:space="0"/>
          <w:left w:val="single" w:color="84ACB6" w:themeColor="accent5" w:sz="8" w:space="0"/>
          <w:bottom w:val="single" w:color="84ACB6" w:themeColor="accent5" w:sz="18" w:space="0"/>
          <w:right w:val="single" w:color="84ACB6" w:themeColor="accent5" w:sz="8" w:space="0"/>
          <w:insideH w:val="nil"/>
          <w:insideV w:val="single" w:color="84ACB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4ACB6" w:themeColor="accent5" w:sz="6" w:space="0"/>
          <w:left w:val="single" w:color="84ACB6" w:themeColor="accent5" w:sz="8" w:space="0"/>
          <w:bottom w:val="single" w:color="84ACB6" w:themeColor="accent5" w:sz="8" w:space="0"/>
          <w:right w:val="single" w:color="84ACB6" w:themeColor="accent5" w:sz="8" w:space="0"/>
          <w:insideH w:val="nil"/>
          <w:insideV w:val="single" w:color="84ACB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4ACB6" w:themeColor="accent5" w:sz="8" w:space="0"/>
          <w:left w:val="single" w:color="84ACB6" w:themeColor="accent5" w:sz="8" w:space="0"/>
          <w:bottom w:val="single" w:color="84ACB6" w:themeColor="accent5" w:sz="8" w:space="0"/>
          <w:right w:val="single" w:color="84ACB6" w:themeColor="accent5" w:sz="8" w:space="0"/>
        </w:tcBorders>
      </w:tcPr>
    </w:tblStylePr>
    <w:tblStylePr w:type="band1Vert">
      <w:tblPr/>
      <w:tcPr>
        <w:tcBorders>
          <w:top w:val="single" w:color="84ACB6" w:themeColor="accent5" w:sz="8" w:space="0"/>
          <w:left w:val="single" w:color="84ACB6" w:themeColor="accent5" w:sz="8" w:space="0"/>
          <w:bottom w:val="single" w:color="84ACB6" w:themeColor="accent5" w:sz="8" w:space="0"/>
          <w:right w:val="single" w:color="84ACB6" w:themeColor="accent5" w:sz="8" w:space="0"/>
        </w:tcBorders>
        <w:shd w:val="clear" w:color="auto" w:fill="E0EAED" w:themeFill="accent5" w:themeFillTint="3F"/>
      </w:tcPr>
    </w:tblStylePr>
    <w:tblStylePr w:type="band1Horz">
      <w:tblPr/>
      <w:tcPr>
        <w:tcBorders>
          <w:top w:val="single" w:color="84ACB6" w:themeColor="accent5" w:sz="8" w:space="0"/>
          <w:left w:val="single" w:color="84ACB6" w:themeColor="accent5" w:sz="8" w:space="0"/>
          <w:bottom w:val="single" w:color="84ACB6" w:themeColor="accent5" w:sz="8" w:space="0"/>
          <w:right w:val="single" w:color="84ACB6" w:themeColor="accent5" w:sz="8" w:space="0"/>
          <w:insideV w:val="single" w:color="84ACB6" w:themeColor="accent5" w:sz="8" w:space="0"/>
        </w:tcBorders>
        <w:shd w:val="clear" w:color="auto" w:fill="E0EAED" w:themeFill="accent5" w:themeFillTint="3F"/>
      </w:tcPr>
    </w:tblStylePr>
    <w:tblStylePr w:type="band2Horz">
      <w:tblPr/>
      <w:tcPr>
        <w:tcBorders>
          <w:top w:val="single" w:color="84ACB6" w:themeColor="accent5" w:sz="8" w:space="0"/>
          <w:left w:val="single" w:color="84ACB6" w:themeColor="accent5" w:sz="8" w:space="0"/>
          <w:bottom w:val="single" w:color="84ACB6" w:themeColor="accent5" w:sz="8" w:space="0"/>
          <w:right w:val="single" w:color="84ACB6" w:themeColor="accent5" w:sz="8" w:space="0"/>
          <w:insideV w:val="single" w:color="84ACB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2683C6" w:themeColor="accent6" w:sz="8" w:space="0"/>
        <w:left w:val="single" w:color="2683C6" w:themeColor="accent6" w:sz="8" w:space="0"/>
        <w:bottom w:val="single" w:color="2683C6" w:themeColor="accent6" w:sz="8" w:space="0"/>
        <w:right w:val="single" w:color="2683C6" w:themeColor="accent6" w:sz="8" w:space="0"/>
        <w:insideH w:val="single" w:color="2683C6" w:themeColor="accent6" w:sz="8" w:space="0"/>
        <w:insideV w:val="single" w:color="2683C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2683C6" w:themeColor="accent6" w:sz="8" w:space="0"/>
          <w:left w:val="single" w:color="2683C6" w:themeColor="accent6" w:sz="8" w:space="0"/>
          <w:bottom w:val="single" w:color="2683C6" w:themeColor="accent6" w:sz="18" w:space="0"/>
          <w:right w:val="single" w:color="2683C6" w:themeColor="accent6" w:sz="8" w:space="0"/>
          <w:insideH w:val="nil"/>
          <w:insideV w:val="single" w:color="2683C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2683C6" w:themeColor="accent6" w:sz="6" w:space="0"/>
          <w:left w:val="single" w:color="2683C6" w:themeColor="accent6" w:sz="8" w:space="0"/>
          <w:bottom w:val="single" w:color="2683C6" w:themeColor="accent6" w:sz="8" w:space="0"/>
          <w:right w:val="single" w:color="2683C6" w:themeColor="accent6" w:sz="8" w:space="0"/>
          <w:insideH w:val="nil"/>
          <w:insideV w:val="single" w:color="2683C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2683C6" w:themeColor="accent6" w:sz="8" w:space="0"/>
          <w:left w:val="single" w:color="2683C6" w:themeColor="accent6" w:sz="8" w:space="0"/>
          <w:bottom w:val="single" w:color="2683C6" w:themeColor="accent6" w:sz="8" w:space="0"/>
          <w:right w:val="single" w:color="2683C6" w:themeColor="accent6" w:sz="8" w:space="0"/>
        </w:tcBorders>
      </w:tcPr>
    </w:tblStylePr>
    <w:tblStylePr w:type="band1Vert">
      <w:tblPr/>
      <w:tcPr>
        <w:tcBorders>
          <w:top w:val="single" w:color="2683C6" w:themeColor="accent6" w:sz="8" w:space="0"/>
          <w:left w:val="single" w:color="2683C6" w:themeColor="accent6" w:sz="8" w:space="0"/>
          <w:bottom w:val="single" w:color="2683C6" w:themeColor="accent6" w:sz="8" w:space="0"/>
          <w:right w:val="single" w:color="2683C6" w:themeColor="accent6" w:sz="8" w:space="0"/>
        </w:tcBorders>
        <w:shd w:val="clear" w:color="auto" w:fill="C5E0F4" w:themeFill="accent6" w:themeFillTint="3F"/>
      </w:tcPr>
    </w:tblStylePr>
    <w:tblStylePr w:type="band1Horz">
      <w:tblPr/>
      <w:tcPr>
        <w:tcBorders>
          <w:top w:val="single" w:color="2683C6" w:themeColor="accent6" w:sz="8" w:space="0"/>
          <w:left w:val="single" w:color="2683C6" w:themeColor="accent6" w:sz="8" w:space="0"/>
          <w:bottom w:val="single" w:color="2683C6" w:themeColor="accent6" w:sz="8" w:space="0"/>
          <w:right w:val="single" w:color="2683C6" w:themeColor="accent6" w:sz="8" w:space="0"/>
          <w:insideV w:val="single" w:color="2683C6" w:themeColor="accent6" w:sz="8" w:space="0"/>
        </w:tcBorders>
        <w:shd w:val="clear" w:color="auto" w:fill="C5E0F4" w:themeFill="accent6" w:themeFillTint="3F"/>
      </w:tcPr>
    </w:tblStylePr>
    <w:tblStylePr w:type="band2Horz">
      <w:tblPr/>
      <w:tcPr>
        <w:tcBorders>
          <w:top w:val="single" w:color="2683C6" w:themeColor="accent6" w:sz="8" w:space="0"/>
          <w:left w:val="single" w:color="2683C6" w:themeColor="accent6" w:sz="8" w:space="0"/>
          <w:bottom w:val="single" w:color="2683C6" w:themeColor="accent6" w:sz="8" w:space="0"/>
          <w:right w:val="single" w:color="2683C6" w:themeColor="accent6" w:sz="8" w:space="0"/>
          <w:insideV w:val="single" w:color="2683C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5FB1D2" w:themeColor="accent1" w:themeTint="BF" w:sz="8" w:space="0"/>
        <w:left w:val="single" w:color="5FB1D2" w:themeColor="accent1" w:themeTint="BF" w:sz="8" w:space="0"/>
        <w:bottom w:val="single" w:color="5FB1D2" w:themeColor="accent1" w:themeTint="BF" w:sz="8" w:space="0"/>
        <w:right w:val="single" w:color="5FB1D2" w:themeColor="accent1" w:themeTint="BF" w:sz="8" w:space="0"/>
        <w:insideH w:val="single" w:color="5FB1D2" w:themeColor="accent1" w:themeTint="BF" w:sz="8" w:space="0"/>
      </w:tblBorders>
    </w:tblPr>
    <w:tblStylePr w:type="firstRow">
      <w:pPr>
        <w:spacing w:before="0" w:after="0" w:line="240" w:lineRule="auto"/>
      </w:pPr>
      <w:rPr>
        <w:b/>
        <w:bCs/>
        <w:color w:val="FFFFFF" w:themeColor="background1"/>
      </w:rPr>
      <w:tblPr/>
      <w:tcPr>
        <w:tcBorders>
          <w:top w:val="single" w:color="5FB1D2" w:themeColor="accent1" w:themeTint="BF" w:sz="8" w:space="0"/>
          <w:left w:val="single" w:color="5FB1D2" w:themeColor="accent1" w:themeTint="BF" w:sz="8" w:space="0"/>
          <w:bottom w:val="single" w:color="5FB1D2" w:themeColor="accent1" w:themeTint="BF" w:sz="8" w:space="0"/>
          <w:right w:val="single" w:color="5FB1D2" w:themeColor="accent1" w:themeTint="BF" w:sz="8" w:space="0"/>
          <w:insideH w:val="nil"/>
          <w:insideV w:val="nil"/>
        </w:tcBorders>
        <w:shd w:val="clear" w:color="auto" w:fill="3494BA" w:themeFill="accent1"/>
      </w:tcPr>
    </w:tblStylePr>
    <w:tblStylePr w:type="lastRow">
      <w:pPr>
        <w:spacing w:before="0" w:after="0" w:line="240" w:lineRule="auto"/>
      </w:pPr>
      <w:rPr>
        <w:b/>
        <w:bCs/>
      </w:rPr>
      <w:tblPr/>
      <w:tcPr>
        <w:tcBorders>
          <w:top w:val="double" w:color="5FB1D2" w:themeColor="accent1" w:themeTint="BF" w:sz="6" w:space="0"/>
          <w:left w:val="single" w:color="5FB1D2" w:themeColor="accent1" w:themeTint="BF" w:sz="8" w:space="0"/>
          <w:bottom w:val="single" w:color="5FB1D2" w:themeColor="accent1" w:themeTint="BF" w:sz="8" w:space="0"/>
          <w:right w:val="single" w:color="5FB1D2"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CAE5F0" w:themeFill="accent1" w:themeFillTint="3F"/>
      </w:tcPr>
    </w:tblStylePr>
    <w:tblStylePr w:type="band1Horz">
      <w:tblPr/>
      <w:tcPr>
        <w:tcBorders>
          <w:insideH w:val="nil"/>
          <w:insideV w:val="nil"/>
        </w:tcBorders>
        <w:shd w:val="clear" w:color="auto" w:fill="CAE5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81C8CF" w:themeColor="accent2" w:themeTint="BF" w:sz="8" w:space="0"/>
        <w:left w:val="single" w:color="81C8CF" w:themeColor="accent2" w:themeTint="BF" w:sz="8" w:space="0"/>
        <w:bottom w:val="single" w:color="81C8CF" w:themeColor="accent2" w:themeTint="BF" w:sz="8" w:space="0"/>
        <w:right w:val="single" w:color="81C8CF" w:themeColor="accent2" w:themeTint="BF" w:sz="8" w:space="0"/>
        <w:insideH w:val="single" w:color="81C8CF" w:themeColor="accent2" w:themeTint="BF" w:sz="8" w:space="0"/>
      </w:tblBorders>
    </w:tblPr>
    <w:tblStylePr w:type="firstRow">
      <w:pPr>
        <w:spacing w:before="0" w:after="0" w:line="240" w:lineRule="auto"/>
      </w:pPr>
      <w:rPr>
        <w:b/>
        <w:bCs/>
        <w:color w:val="FFFFFF" w:themeColor="background1"/>
      </w:rPr>
      <w:tblPr/>
      <w:tcPr>
        <w:tcBorders>
          <w:top w:val="single" w:color="81C8CF" w:themeColor="accent2" w:themeTint="BF" w:sz="8" w:space="0"/>
          <w:left w:val="single" w:color="81C8CF" w:themeColor="accent2" w:themeTint="BF" w:sz="8" w:space="0"/>
          <w:bottom w:val="single" w:color="81C8CF" w:themeColor="accent2" w:themeTint="BF" w:sz="8" w:space="0"/>
          <w:right w:val="single" w:color="81C8CF" w:themeColor="accent2" w:themeTint="BF" w:sz="8" w:space="0"/>
          <w:insideH w:val="nil"/>
          <w:insideV w:val="nil"/>
        </w:tcBorders>
        <w:shd w:val="clear" w:color="auto" w:fill="58B6C0" w:themeFill="accent2"/>
      </w:tcPr>
    </w:tblStylePr>
    <w:tblStylePr w:type="lastRow">
      <w:pPr>
        <w:spacing w:before="0" w:after="0" w:line="240" w:lineRule="auto"/>
      </w:pPr>
      <w:rPr>
        <w:b/>
        <w:bCs/>
      </w:rPr>
      <w:tblPr/>
      <w:tcPr>
        <w:tcBorders>
          <w:top w:val="double" w:color="81C8CF" w:themeColor="accent2" w:themeTint="BF" w:sz="6" w:space="0"/>
          <w:left w:val="single" w:color="81C8CF" w:themeColor="accent2" w:themeTint="BF" w:sz="8" w:space="0"/>
          <w:bottom w:val="single" w:color="81C8CF" w:themeColor="accent2" w:themeTint="BF" w:sz="8" w:space="0"/>
          <w:right w:val="single" w:color="81C8CF"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D5ECEF" w:themeFill="accent2" w:themeFillTint="3F"/>
      </w:tcPr>
    </w:tblStylePr>
    <w:tblStylePr w:type="band1Horz">
      <w:tblPr/>
      <w:tcPr>
        <w:tcBorders>
          <w:insideH w:val="nil"/>
          <w:insideV w:val="nil"/>
        </w:tcBorders>
        <w:shd w:val="clear" w:color="auto" w:fill="D5ECE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97CDBC" w:themeColor="accent3" w:themeTint="BF" w:sz="8" w:space="0"/>
        <w:left w:val="single" w:color="97CDBC" w:themeColor="accent3" w:themeTint="BF" w:sz="8" w:space="0"/>
        <w:bottom w:val="single" w:color="97CDBC" w:themeColor="accent3" w:themeTint="BF" w:sz="8" w:space="0"/>
        <w:right w:val="single" w:color="97CDBC" w:themeColor="accent3" w:themeTint="BF" w:sz="8" w:space="0"/>
        <w:insideH w:val="single" w:color="97CDBC" w:themeColor="accent3" w:themeTint="BF" w:sz="8" w:space="0"/>
      </w:tblBorders>
    </w:tblPr>
    <w:tblStylePr w:type="firstRow">
      <w:pPr>
        <w:spacing w:before="0" w:after="0" w:line="240" w:lineRule="auto"/>
      </w:pPr>
      <w:rPr>
        <w:b/>
        <w:bCs/>
        <w:color w:val="FFFFFF" w:themeColor="background1"/>
      </w:rPr>
      <w:tblPr/>
      <w:tcPr>
        <w:tcBorders>
          <w:top w:val="single" w:color="97CDBC" w:themeColor="accent3" w:themeTint="BF" w:sz="8" w:space="0"/>
          <w:left w:val="single" w:color="97CDBC" w:themeColor="accent3" w:themeTint="BF" w:sz="8" w:space="0"/>
          <w:bottom w:val="single" w:color="97CDBC" w:themeColor="accent3" w:themeTint="BF" w:sz="8" w:space="0"/>
          <w:right w:val="single" w:color="97CDBC" w:themeColor="accent3" w:themeTint="BF" w:sz="8" w:space="0"/>
          <w:insideH w:val="nil"/>
          <w:insideV w:val="nil"/>
        </w:tcBorders>
        <w:shd w:val="clear" w:color="auto" w:fill="75BDA7" w:themeFill="accent3"/>
      </w:tcPr>
    </w:tblStylePr>
    <w:tblStylePr w:type="lastRow">
      <w:pPr>
        <w:spacing w:before="0" w:after="0" w:line="240" w:lineRule="auto"/>
      </w:pPr>
      <w:rPr>
        <w:b/>
        <w:bCs/>
      </w:rPr>
      <w:tblPr/>
      <w:tcPr>
        <w:tcBorders>
          <w:top w:val="double" w:color="97CDBC" w:themeColor="accent3" w:themeTint="BF" w:sz="6" w:space="0"/>
          <w:left w:val="single" w:color="97CDBC" w:themeColor="accent3" w:themeTint="BF" w:sz="8" w:space="0"/>
          <w:bottom w:val="single" w:color="97CDBC" w:themeColor="accent3" w:themeTint="BF" w:sz="8" w:space="0"/>
          <w:right w:val="single" w:color="97CDBC"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DCEEE9" w:themeFill="accent3" w:themeFillTint="3F"/>
      </w:tcPr>
    </w:tblStylePr>
    <w:tblStylePr w:type="band1Horz">
      <w:tblPr/>
      <w:tcPr>
        <w:tcBorders>
          <w:insideH w:val="nil"/>
          <w:insideV w:val="nil"/>
        </w:tcBorders>
        <w:shd w:val="clear" w:color="auto" w:fill="DCEEE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BA8AA" w:themeColor="accent4" w:themeTint="BF" w:sz="8" w:space="0"/>
        <w:left w:val="single" w:color="9BA8AA" w:themeColor="accent4" w:themeTint="BF" w:sz="8" w:space="0"/>
        <w:bottom w:val="single" w:color="9BA8AA" w:themeColor="accent4" w:themeTint="BF" w:sz="8" w:space="0"/>
        <w:right w:val="single" w:color="9BA8AA" w:themeColor="accent4" w:themeTint="BF" w:sz="8" w:space="0"/>
        <w:insideH w:val="single" w:color="9BA8AA" w:themeColor="accent4" w:themeTint="BF" w:sz="8" w:space="0"/>
      </w:tblBorders>
    </w:tblPr>
    <w:tblStylePr w:type="firstRow">
      <w:pPr>
        <w:spacing w:before="0" w:after="0" w:line="240" w:lineRule="auto"/>
      </w:pPr>
      <w:rPr>
        <w:b/>
        <w:bCs/>
        <w:color w:val="FFFFFF" w:themeColor="background1"/>
      </w:rPr>
      <w:tblPr/>
      <w:tcPr>
        <w:tcBorders>
          <w:top w:val="single" w:color="9BA8AA" w:themeColor="accent4" w:themeTint="BF" w:sz="8" w:space="0"/>
          <w:left w:val="single" w:color="9BA8AA" w:themeColor="accent4" w:themeTint="BF" w:sz="8" w:space="0"/>
          <w:bottom w:val="single" w:color="9BA8AA" w:themeColor="accent4" w:themeTint="BF" w:sz="8" w:space="0"/>
          <w:right w:val="single" w:color="9BA8AA" w:themeColor="accent4" w:themeTint="BF" w:sz="8" w:space="0"/>
          <w:insideH w:val="nil"/>
          <w:insideV w:val="nil"/>
        </w:tcBorders>
        <w:shd w:val="clear" w:color="auto" w:fill="7A8C8E" w:themeFill="accent4"/>
      </w:tcPr>
    </w:tblStylePr>
    <w:tblStylePr w:type="lastRow">
      <w:pPr>
        <w:spacing w:before="0" w:after="0" w:line="240" w:lineRule="auto"/>
      </w:pPr>
      <w:rPr>
        <w:b/>
        <w:bCs/>
      </w:rPr>
      <w:tblPr/>
      <w:tcPr>
        <w:tcBorders>
          <w:top w:val="double" w:color="9BA8AA" w:themeColor="accent4" w:themeTint="BF" w:sz="6" w:space="0"/>
          <w:left w:val="single" w:color="9BA8AA" w:themeColor="accent4" w:themeTint="BF" w:sz="8" w:space="0"/>
          <w:bottom w:val="single" w:color="9BA8AA" w:themeColor="accent4" w:themeTint="BF" w:sz="8" w:space="0"/>
          <w:right w:val="single" w:color="9BA8AA"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EE2E3" w:themeFill="accent4" w:themeFillTint="3F"/>
      </w:tcPr>
    </w:tblStylePr>
    <w:tblStylePr w:type="band1Horz">
      <w:tblPr/>
      <w:tcPr>
        <w:tcBorders>
          <w:insideH w:val="nil"/>
          <w:insideV w:val="nil"/>
        </w:tcBorders>
        <w:shd w:val="clear" w:color="auto" w:fill="DEE2E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A2C0C8" w:themeColor="accent5" w:themeTint="BF" w:sz="8" w:space="0"/>
        <w:left w:val="single" w:color="A2C0C8" w:themeColor="accent5" w:themeTint="BF" w:sz="8" w:space="0"/>
        <w:bottom w:val="single" w:color="A2C0C8" w:themeColor="accent5" w:themeTint="BF" w:sz="8" w:space="0"/>
        <w:right w:val="single" w:color="A2C0C8" w:themeColor="accent5" w:themeTint="BF" w:sz="8" w:space="0"/>
        <w:insideH w:val="single" w:color="A2C0C8" w:themeColor="accent5" w:themeTint="BF" w:sz="8" w:space="0"/>
      </w:tblBorders>
    </w:tblPr>
    <w:tblStylePr w:type="firstRow">
      <w:pPr>
        <w:spacing w:before="0" w:after="0" w:line="240" w:lineRule="auto"/>
      </w:pPr>
      <w:rPr>
        <w:b/>
        <w:bCs/>
        <w:color w:val="FFFFFF" w:themeColor="background1"/>
      </w:rPr>
      <w:tblPr/>
      <w:tcPr>
        <w:tcBorders>
          <w:top w:val="single" w:color="A2C0C8" w:themeColor="accent5" w:themeTint="BF" w:sz="8" w:space="0"/>
          <w:left w:val="single" w:color="A2C0C8" w:themeColor="accent5" w:themeTint="BF" w:sz="8" w:space="0"/>
          <w:bottom w:val="single" w:color="A2C0C8" w:themeColor="accent5" w:themeTint="BF" w:sz="8" w:space="0"/>
          <w:right w:val="single" w:color="A2C0C8" w:themeColor="accent5" w:themeTint="BF" w:sz="8" w:space="0"/>
          <w:insideH w:val="nil"/>
          <w:insideV w:val="nil"/>
        </w:tcBorders>
        <w:shd w:val="clear" w:color="auto" w:fill="84ACB6" w:themeFill="accent5"/>
      </w:tcPr>
    </w:tblStylePr>
    <w:tblStylePr w:type="lastRow">
      <w:pPr>
        <w:spacing w:before="0" w:after="0" w:line="240" w:lineRule="auto"/>
      </w:pPr>
      <w:rPr>
        <w:b/>
        <w:bCs/>
      </w:rPr>
      <w:tblPr/>
      <w:tcPr>
        <w:tcBorders>
          <w:top w:val="double" w:color="A2C0C8" w:themeColor="accent5" w:themeTint="BF" w:sz="6" w:space="0"/>
          <w:left w:val="single" w:color="A2C0C8" w:themeColor="accent5" w:themeTint="BF" w:sz="8" w:space="0"/>
          <w:bottom w:val="single" w:color="A2C0C8" w:themeColor="accent5" w:themeTint="BF" w:sz="8" w:space="0"/>
          <w:right w:val="single" w:color="A2C0C8"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E0EAED" w:themeFill="accent5" w:themeFillTint="3F"/>
      </w:tcPr>
    </w:tblStylePr>
    <w:tblStylePr w:type="band1Horz">
      <w:tblPr/>
      <w:tcPr>
        <w:tcBorders>
          <w:insideH w:val="nil"/>
          <w:insideV w:val="nil"/>
        </w:tcBorders>
        <w:shd w:val="clear" w:color="auto" w:fill="E0EAED"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52A3DE" w:themeColor="accent6" w:themeTint="BF" w:sz="8" w:space="0"/>
        <w:left w:val="single" w:color="52A3DE" w:themeColor="accent6" w:themeTint="BF" w:sz="8" w:space="0"/>
        <w:bottom w:val="single" w:color="52A3DE" w:themeColor="accent6" w:themeTint="BF" w:sz="8" w:space="0"/>
        <w:right w:val="single" w:color="52A3DE" w:themeColor="accent6" w:themeTint="BF" w:sz="8" w:space="0"/>
        <w:insideH w:val="single" w:color="52A3DE" w:themeColor="accent6" w:themeTint="BF" w:sz="8" w:space="0"/>
      </w:tblBorders>
    </w:tblPr>
    <w:tblStylePr w:type="firstRow">
      <w:pPr>
        <w:spacing w:before="0" w:after="0" w:line="240" w:lineRule="auto"/>
      </w:pPr>
      <w:rPr>
        <w:b/>
        <w:bCs/>
        <w:color w:val="FFFFFF" w:themeColor="background1"/>
      </w:rPr>
      <w:tblPr/>
      <w:tcPr>
        <w:tcBorders>
          <w:top w:val="single" w:color="52A3DE" w:themeColor="accent6" w:themeTint="BF" w:sz="8" w:space="0"/>
          <w:left w:val="single" w:color="52A3DE" w:themeColor="accent6" w:themeTint="BF" w:sz="8" w:space="0"/>
          <w:bottom w:val="single" w:color="52A3DE" w:themeColor="accent6" w:themeTint="BF" w:sz="8" w:space="0"/>
          <w:right w:val="single" w:color="52A3DE" w:themeColor="accent6" w:themeTint="BF" w:sz="8" w:space="0"/>
          <w:insideH w:val="nil"/>
          <w:insideV w:val="nil"/>
        </w:tcBorders>
        <w:shd w:val="clear" w:color="auto" w:fill="2683C6" w:themeFill="accent6"/>
      </w:tcPr>
    </w:tblStylePr>
    <w:tblStylePr w:type="lastRow">
      <w:pPr>
        <w:spacing w:before="0" w:after="0" w:line="240" w:lineRule="auto"/>
      </w:pPr>
      <w:rPr>
        <w:b/>
        <w:bCs/>
      </w:rPr>
      <w:tblPr/>
      <w:tcPr>
        <w:tcBorders>
          <w:top w:val="double" w:color="52A3DE" w:themeColor="accent6" w:themeTint="BF" w:sz="6" w:space="0"/>
          <w:left w:val="single" w:color="52A3DE" w:themeColor="accent6" w:themeTint="BF" w:sz="8" w:space="0"/>
          <w:bottom w:val="single" w:color="52A3DE" w:themeColor="accent6" w:themeTint="BF" w:sz="8" w:space="0"/>
          <w:right w:val="single" w:color="52A3DE"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C5E0F4" w:themeFill="accent6" w:themeFillTint="3F"/>
      </w:tcPr>
    </w:tblStylePr>
    <w:tblStylePr w:type="band1Horz">
      <w:tblPr/>
      <w:tcPr>
        <w:tcBorders>
          <w:insideH w:val="nil"/>
          <w:insideV w:val="nil"/>
        </w:tcBorders>
        <w:shd w:val="clear" w:color="auto" w:fill="C5E0F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3494BA"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3494BA" w:themeFill="accent1"/>
      </w:tcPr>
    </w:tblStylePr>
    <w:tblStylePr w:type="lastCol">
      <w:rPr>
        <w:b/>
        <w:bCs/>
        <w:color w:val="FFFFFF" w:themeColor="background1"/>
      </w:rPr>
      <w:tblPr/>
      <w:tcPr>
        <w:tcBorders>
          <w:left w:val="nil"/>
          <w:right w:val="nil"/>
          <w:insideH w:val="nil"/>
          <w:insideV w:val="nil"/>
        </w:tcBorders>
        <w:shd w:val="clear" w:color="auto" w:fill="3494B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58B6C0"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58B6C0" w:themeFill="accent2"/>
      </w:tcPr>
    </w:tblStylePr>
    <w:tblStylePr w:type="lastCol">
      <w:rPr>
        <w:b/>
        <w:bCs/>
        <w:color w:val="FFFFFF" w:themeColor="background1"/>
      </w:rPr>
      <w:tblPr/>
      <w:tcPr>
        <w:tcBorders>
          <w:left w:val="nil"/>
          <w:right w:val="nil"/>
          <w:insideH w:val="nil"/>
          <w:insideV w:val="nil"/>
        </w:tcBorders>
        <w:shd w:val="clear" w:color="auto" w:fill="58B6C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75BDA7"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75BDA7" w:themeFill="accent3"/>
      </w:tcPr>
    </w:tblStylePr>
    <w:tblStylePr w:type="lastCol">
      <w:rPr>
        <w:b/>
        <w:bCs/>
        <w:color w:val="FFFFFF" w:themeColor="background1"/>
      </w:rPr>
      <w:tblPr/>
      <w:tcPr>
        <w:tcBorders>
          <w:left w:val="nil"/>
          <w:right w:val="nil"/>
          <w:insideH w:val="nil"/>
          <w:insideV w:val="nil"/>
        </w:tcBorders>
        <w:shd w:val="clear" w:color="auto" w:fill="75BDA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7A8C8E"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7A8C8E" w:themeFill="accent4"/>
      </w:tcPr>
    </w:tblStylePr>
    <w:tblStylePr w:type="lastCol">
      <w:rPr>
        <w:b/>
        <w:bCs/>
        <w:color w:val="FFFFFF" w:themeColor="background1"/>
      </w:rPr>
      <w:tblPr/>
      <w:tcPr>
        <w:tcBorders>
          <w:left w:val="nil"/>
          <w:right w:val="nil"/>
          <w:insideH w:val="nil"/>
          <w:insideV w:val="nil"/>
        </w:tcBorders>
        <w:shd w:val="clear" w:color="auto" w:fill="7A8C8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4ACB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4ACB6" w:themeFill="accent5"/>
      </w:tcPr>
    </w:tblStylePr>
    <w:tblStylePr w:type="lastCol">
      <w:rPr>
        <w:b/>
        <w:bCs/>
        <w:color w:val="FFFFFF" w:themeColor="background1"/>
      </w:rPr>
      <w:tblPr/>
      <w:tcPr>
        <w:tcBorders>
          <w:left w:val="nil"/>
          <w:right w:val="nil"/>
          <w:insideH w:val="nil"/>
          <w:insideV w:val="nil"/>
        </w:tcBorders>
        <w:shd w:val="clear" w:color="auto" w:fill="84ACB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2683C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2683C6" w:themeFill="accent6"/>
      </w:tcPr>
    </w:tblStylePr>
    <w:tblStylePr w:type="lastCol">
      <w:rPr>
        <w:b/>
        <w:bCs/>
        <w:color w:val="FFFFFF" w:themeColor="background1"/>
      </w:rPr>
      <w:tblPr/>
      <w:tcPr>
        <w:tcBorders>
          <w:left w:val="nil"/>
          <w:right w:val="nil"/>
          <w:insideH w:val="nil"/>
          <w:insideV w:val="nil"/>
        </w:tcBorders>
        <w:shd w:val="clear" w:color="auto" w:fill="2683C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373545"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3494BA" w:themeColor="accent1" w:sz="8" w:space="0"/>
        <w:bottom w:val="single" w:color="3494BA" w:themeColor="accent1" w:sz="8" w:space="0"/>
      </w:tblBorders>
    </w:tblPr>
    <w:tblStylePr w:type="firstRow">
      <w:rPr>
        <w:rFonts w:asciiTheme="majorHAnsi" w:hAnsiTheme="majorHAnsi" w:eastAsiaTheme="majorEastAsia" w:cstheme="majorBidi"/>
      </w:rPr>
      <w:tblPr/>
      <w:tcPr>
        <w:tcBorders>
          <w:top w:val="nil"/>
          <w:bottom w:val="single" w:color="3494BA" w:themeColor="accent1" w:sz="8" w:space="0"/>
        </w:tcBorders>
      </w:tcPr>
    </w:tblStylePr>
    <w:tblStylePr w:type="lastRow">
      <w:rPr>
        <w:b/>
        <w:bCs/>
        <w:color w:val="373545" w:themeColor="text2"/>
      </w:rPr>
      <w:tblPr/>
      <w:tcPr>
        <w:tcBorders>
          <w:top w:val="single" w:color="3494BA" w:themeColor="accent1" w:sz="8" w:space="0"/>
          <w:bottom w:val="single" w:color="3494BA" w:themeColor="accent1" w:sz="8" w:space="0"/>
        </w:tcBorders>
      </w:tcPr>
    </w:tblStylePr>
    <w:tblStylePr w:type="firstCol">
      <w:rPr>
        <w:b/>
        <w:bCs/>
      </w:rPr>
    </w:tblStylePr>
    <w:tblStylePr w:type="lastCol">
      <w:rPr>
        <w:b/>
        <w:bCs/>
      </w:rPr>
      <w:tblPr/>
      <w:tcPr>
        <w:tcBorders>
          <w:top w:val="single" w:color="3494BA" w:themeColor="accent1" w:sz="8" w:space="0"/>
          <w:bottom w:val="single" w:color="3494BA" w:themeColor="accent1" w:sz="8" w:space="0"/>
        </w:tcBorders>
      </w:tcPr>
    </w:tblStylePr>
    <w:tblStylePr w:type="band1Vert">
      <w:tblPr/>
      <w:tcPr>
        <w:shd w:val="clear" w:color="auto" w:fill="CAE5F0" w:themeFill="accent1" w:themeFillTint="3F"/>
      </w:tcPr>
    </w:tblStylePr>
    <w:tblStylePr w:type="band1Horz">
      <w:tblPr/>
      <w:tcPr>
        <w:shd w:val="clear" w:color="auto" w:fill="CAE5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58B6C0" w:themeColor="accent2" w:sz="8" w:space="0"/>
        <w:bottom w:val="single" w:color="58B6C0" w:themeColor="accent2" w:sz="8" w:space="0"/>
      </w:tblBorders>
    </w:tblPr>
    <w:tblStylePr w:type="firstRow">
      <w:rPr>
        <w:rFonts w:asciiTheme="majorHAnsi" w:hAnsiTheme="majorHAnsi" w:eastAsiaTheme="majorEastAsia" w:cstheme="majorBidi"/>
      </w:rPr>
      <w:tblPr/>
      <w:tcPr>
        <w:tcBorders>
          <w:top w:val="nil"/>
          <w:bottom w:val="single" w:color="58B6C0" w:themeColor="accent2" w:sz="8" w:space="0"/>
        </w:tcBorders>
      </w:tcPr>
    </w:tblStylePr>
    <w:tblStylePr w:type="lastRow">
      <w:rPr>
        <w:b/>
        <w:bCs/>
        <w:color w:val="373545" w:themeColor="text2"/>
      </w:rPr>
      <w:tblPr/>
      <w:tcPr>
        <w:tcBorders>
          <w:top w:val="single" w:color="58B6C0" w:themeColor="accent2" w:sz="8" w:space="0"/>
          <w:bottom w:val="single" w:color="58B6C0" w:themeColor="accent2" w:sz="8" w:space="0"/>
        </w:tcBorders>
      </w:tcPr>
    </w:tblStylePr>
    <w:tblStylePr w:type="firstCol">
      <w:rPr>
        <w:b/>
        <w:bCs/>
      </w:rPr>
    </w:tblStylePr>
    <w:tblStylePr w:type="lastCol">
      <w:rPr>
        <w:b/>
        <w:bCs/>
      </w:rPr>
      <w:tblPr/>
      <w:tcPr>
        <w:tcBorders>
          <w:top w:val="single" w:color="58B6C0" w:themeColor="accent2" w:sz="8" w:space="0"/>
          <w:bottom w:val="single" w:color="58B6C0" w:themeColor="accent2" w:sz="8" w:space="0"/>
        </w:tcBorders>
      </w:tcPr>
    </w:tblStylePr>
    <w:tblStylePr w:type="band1Vert">
      <w:tblPr/>
      <w:tcPr>
        <w:shd w:val="clear" w:color="auto" w:fill="D5ECEF" w:themeFill="accent2" w:themeFillTint="3F"/>
      </w:tcPr>
    </w:tblStylePr>
    <w:tblStylePr w:type="band1Horz">
      <w:tblPr/>
      <w:tcPr>
        <w:shd w:val="clear" w:color="auto" w:fill="D5ECEF"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75BDA7" w:themeColor="accent3" w:sz="8" w:space="0"/>
        <w:bottom w:val="single" w:color="75BDA7" w:themeColor="accent3" w:sz="8" w:space="0"/>
      </w:tblBorders>
    </w:tblPr>
    <w:tblStylePr w:type="firstRow">
      <w:rPr>
        <w:rFonts w:asciiTheme="majorHAnsi" w:hAnsiTheme="majorHAnsi" w:eastAsiaTheme="majorEastAsia" w:cstheme="majorBidi"/>
      </w:rPr>
      <w:tblPr/>
      <w:tcPr>
        <w:tcBorders>
          <w:top w:val="nil"/>
          <w:bottom w:val="single" w:color="75BDA7" w:themeColor="accent3" w:sz="8" w:space="0"/>
        </w:tcBorders>
      </w:tcPr>
    </w:tblStylePr>
    <w:tblStylePr w:type="lastRow">
      <w:rPr>
        <w:b/>
        <w:bCs/>
        <w:color w:val="373545" w:themeColor="text2"/>
      </w:rPr>
      <w:tblPr/>
      <w:tcPr>
        <w:tcBorders>
          <w:top w:val="single" w:color="75BDA7" w:themeColor="accent3" w:sz="8" w:space="0"/>
          <w:bottom w:val="single" w:color="75BDA7" w:themeColor="accent3" w:sz="8" w:space="0"/>
        </w:tcBorders>
      </w:tcPr>
    </w:tblStylePr>
    <w:tblStylePr w:type="firstCol">
      <w:rPr>
        <w:b/>
        <w:bCs/>
      </w:rPr>
    </w:tblStylePr>
    <w:tblStylePr w:type="lastCol">
      <w:rPr>
        <w:b/>
        <w:bCs/>
      </w:rPr>
      <w:tblPr/>
      <w:tcPr>
        <w:tcBorders>
          <w:top w:val="single" w:color="75BDA7" w:themeColor="accent3" w:sz="8" w:space="0"/>
          <w:bottom w:val="single" w:color="75BDA7" w:themeColor="accent3" w:sz="8" w:space="0"/>
        </w:tcBorders>
      </w:tcPr>
    </w:tblStylePr>
    <w:tblStylePr w:type="band1Vert">
      <w:tblPr/>
      <w:tcPr>
        <w:shd w:val="clear" w:color="auto" w:fill="DCEEE9" w:themeFill="accent3" w:themeFillTint="3F"/>
      </w:tcPr>
    </w:tblStylePr>
    <w:tblStylePr w:type="band1Horz">
      <w:tblPr/>
      <w:tcPr>
        <w:shd w:val="clear" w:color="auto" w:fill="DCEEE9"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7A8C8E" w:themeColor="accent4" w:sz="8" w:space="0"/>
        <w:bottom w:val="single" w:color="7A8C8E" w:themeColor="accent4" w:sz="8" w:space="0"/>
      </w:tblBorders>
    </w:tblPr>
    <w:tblStylePr w:type="firstRow">
      <w:rPr>
        <w:rFonts w:asciiTheme="majorHAnsi" w:hAnsiTheme="majorHAnsi" w:eastAsiaTheme="majorEastAsia" w:cstheme="majorBidi"/>
      </w:rPr>
      <w:tblPr/>
      <w:tcPr>
        <w:tcBorders>
          <w:top w:val="nil"/>
          <w:bottom w:val="single" w:color="7A8C8E" w:themeColor="accent4" w:sz="8" w:space="0"/>
        </w:tcBorders>
      </w:tcPr>
    </w:tblStylePr>
    <w:tblStylePr w:type="lastRow">
      <w:rPr>
        <w:b/>
        <w:bCs/>
        <w:color w:val="373545" w:themeColor="text2"/>
      </w:rPr>
      <w:tblPr/>
      <w:tcPr>
        <w:tcBorders>
          <w:top w:val="single" w:color="7A8C8E" w:themeColor="accent4" w:sz="8" w:space="0"/>
          <w:bottom w:val="single" w:color="7A8C8E" w:themeColor="accent4" w:sz="8" w:space="0"/>
        </w:tcBorders>
      </w:tcPr>
    </w:tblStylePr>
    <w:tblStylePr w:type="firstCol">
      <w:rPr>
        <w:b/>
        <w:bCs/>
      </w:rPr>
    </w:tblStylePr>
    <w:tblStylePr w:type="lastCol">
      <w:rPr>
        <w:b/>
        <w:bCs/>
      </w:rPr>
      <w:tblPr/>
      <w:tcPr>
        <w:tcBorders>
          <w:top w:val="single" w:color="7A8C8E" w:themeColor="accent4" w:sz="8" w:space="0"/>
          <w:bottom w:val="single" w:color="7A8C8E" w:themeColor="accent4" w:sz="8" w:space="0"/>
        </w:tcBorders>
      </w:tcPr>
    </w:tblStylePr>
    <w:tblStylePr w:type="band1Vert">
      <w:tblPr/>
      <w:tcPr>
        <w:shd w:val="clear" w:color="auto" w:fill="DEE2E3" w:themeFill="accent4" w:themeFillTint="3F"/>
      </w:tcPr>
    </w:tblStylePr>
    <w:tblStylePr w:type="band1Horz">
      <w:tblPr/>
      <w:tcPr>
        <w:shd w:val="clear" w:color="auto" w:fill="DEE2E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84ACB6" w:themeColor="accent5" w:sz="8" w:space="0"/>
        <w:bottom w:val="single" w:color="84ACB6" w:themeColor="accent5" w:sz="8" w:space="0"/>
      </w:tblBorders>
    </w:tblPr>
    <w:tblStylePr w:type="firstRow">
      <w:rPr>
        <w:rFonts w:asciiTheme="majorHAnsi" w:hAnsiTheme="majorHAnsi" w:eastAsiaTheme="majorEastAsia" w:cstheme="majorBidi"/>
      </w:rPr>
      <w:tblPr/>
      <w:tcPr>
        <w:tcBorders>
          <w:top w:val="nil"/>
          <w:bottom w:val="single" w:color="84ACB6" w:themeColor="accent5" w:sz="8" w:space="0"/>
        </w:tcBorders>
      </w:tcPr>
    </w:tblStylePr>
    <w:tblStylePr w:type="lastRow">
      <w:rPr>
        <w:b/>
        <w:bCs/>
        <w:color w:val="373545" w:themeColor="text2"/>
      </w:rPr>
      <w:tblPr/>
      <w:tcPr>
        <w:tcBorders>
          <w:top w:val="single" w:color="84ACB6" w:themeColor="accent5" w:sz="8" w:space="0"/>
          <w:bottom w:val="single" w:color="84ACB6" w:themeColor="accent5" w:sz="8" w:space="0"/>
        </w:tcBorders>
      </w:tcPr>
    </w:tblStylePr>
    <w:tblStylePr w:type="firstCol">
      <w:rPr>
        <w:b/>
        <w:bCs/>
      </w:rPr>
    </w:tblStylePr>
    <w:tblStylePr w:type="lastCol">
      <w:rPr>
        <w:b/>
        <w:bCs/>
      </w:rPr>
      <w:tblPr/>
      <w:tcPr>
        <w:tcBorders>
          <w:top w:val="single" w:color="84ACB6" w:themeColor="accent5" w:sz="8" w:space="0"/>
          <w:bottom w:val="single" w:color="84ACB6" w:themeColor="accent5" w:sz="8" w:space="0"/>
        </w:tcBorders>
      </w:tcPr>
    </w:tblStylePr>
    <w:tblStylePr w:type="band1Vert">
      <w:tblPr/>
      <w:tcPr>
        <w:shd w:val="clear" w:color="auto" w:fill="E0EAED" w:themeFill="accent5" w:themeFillTint="3F"/>
      </w:tcPr>
    </w:tblStylePr>
    <w:tblStylePr w:type="band1Horz">
      <w:tblPr/>
      <w:tcPr>
        <w:shd w:val="clear" w:color="auto" w:fill="E0EAED"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2683C6" w:themeColor="accent6" w:sz="8" w:space="0"/>
        <w:bottom w:val="single" w:color="2683C6" w:themeColor="accent6" w:sz="8" w:space="0"/>
      </w:tblBorders>
    </w:tblPr>
    <w:tblStylePr w:type="firstRow">
      <w:rPr>
        <w:rFonts w:asciiTheme="majorHAnsi" w:hAnsiTheme="majorHAnsi" w:eastAsiaTheme="majorEastAsia" w:cstheme="majorBidi"/>
      </w:rPr>
      <w:tblPr/>
      <w:tcPr>
        <w:tcBorders>
          <w:top w:val="nil"/>
          <w:bottom w:val="single" w:color="2683C6" w:themeColor="accent6" w:sz="8" w:space="0"/>
        </w:tcBorders>
      </w:tcPr>
    </w:tblStylePr>
    <w:tblStylePr w:type="lastRow">
      <w:rPr>
        <w:b/>
        <w:bCs/>
        <w:color w:val="373545" w:themeColor="text2"/>
      </w:rPr>
      <w:tblPr/>
      <w:tcPr>
        <w:tcBorders>
          <w:top w:val="single" w:color="2683C6" w:themeColor="accent6" w:sz="8" w:space="0"/>
          <w:bottom w:val="single" w:color="2683C6" w:themeColor="accent6" w:sz="8" w:space="0"/>
        </w:tcBorders>
      </w:tcPr>
    </w:tblStylePr>
    <w:tblStylePr w:type="firstCol">
      <w:rPr>
        <w:b/>
        <w:bCs/>
      </w:rPr>
    </w:tblStylePr>
    <w:tblStylePr w:type="lastCol">
      <w:rPr>
        <w:b/>
        <w:bCs/>
      </w:rPr>
      <w:tblPr/>
      <w:tcPr>
        <w:tcBorders>
          <w:top w:val="single" w:color="2683C6" w:themeColor="accent6" w:sz="8" w:space="0"/>
          <w:bottom w:val="single" w:color="2683C6" w:themeColor="accent6" w:sz="8" w:space="0"/>
        </w:tcBorders>
      </w:tcPr>
    </w:tblStylePr>
    <w:tblStylePr w:type="band1Vert">
      <w:tblPr/>
      <w:tcPr>
        <w:shd w:val="clear" w:color="auto" w:fill="C5E0F4" w:themeFill="accent6" w:themeFillTint="3F"/>
      </w:tcPr>
    </w:tblStylePr>
    <w:tblStylePr w:type="band1Horz">
      <w:tblPr/>
      <w:tcPr>
        <w:shd w:val="clear" w:color="auto" w:fill="C5E0F4"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94BA" w:themeColor="accent1" w:sz="8" w:space="0"/>
        <w:left w:val="single" w:color="3494BA" w:themeColor="accent1" w:sz="8" w:space="0"/>
        <w:bottom w:val="single" w:color="3494BA" w:themeColor="accent1" w:sz="8" w:space="0"/>
        <w:right w:val="single" w:color="3494BA" w:themeColor="accent1" w:sz="8" w:space="0"/>
      </w:tblBorders>
    </w:tblPr>
    <w:tblStylePr w:type="firstRow">
      <w:rPr>
        <w:sz w:val="24"/>
        <w:szCs w:val="24"/>
      </w:rPr>
      <w:tblPr/>
      <w:tcPr>
        <w:tcBorders>
          <w:top w:val="nil"/>
          <w:left w:val="nil"/>
          <w:bottom w:val="single" w:color="3494BA" w:themeColor="accent1" w:sz="24" w:space="0"/>
          <w:right w:val="nil"/>
          <w:insideH w:val="nil"/>
          <w:insideV w:val="nil"/>
        </w:tcBorders>
        <w:shd w:val="clear" w:color="auto" w:fill="FFFFFF" w:themeFill="background1"/>
      </w:tcPr>
    </w:tblStylePr>
    <w:tblStylePr w:type="lastRow">
      <w:tblPr/>
      <w:tcPr>
        <w:tcBorders>
          <w:top w:val="single" w:color="3494BA"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494BA" w:themeColor="accent1" w:sz="8" w:space="0"/>
          <w:insideH w:val="nil"/>
          <w:insideV w:val="nil"/>
        </w:tcBorders>
        <w:shd w:val="clear" w:color="auto" w:fill="FFFFFF" w:themeFill="background1"/>
      </w:tcPr>
    </w:tblStylePr>
    <w:tblStylePr w:type="lastCol">
      <w:tblPr/>
      <w:tcPr>
        <w:tcBorders>
          <w:top w:val="nil"/>
          <w:left w:val="single" w:color="3494BA"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top w:val="nil"/>
          <w:bottom w:val="nil"/>
          <w:insideH w:val="nil"/>
          <w:insideV w:val="nil"/>
        </w:tcBorders>
        <w:shd w:val="clear" w:color="auto" w:fill="CAE5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58B6C0" w:themeColor="accent2" w:sz="8" w:space="0"/>
        <w:left w:val="single" w:color="58B6C0" w:themeColor="accent2" w:sz="8" w:space="0"/>
        <w:bottom w:val="single" w:color="58B6C0" w:themeColor="accent2" w:sz="8" w:space="0"/>
        <w:right w:val="single" w:color="58B6C0" w:themeColor="accent2" w:sz="8" w:space="0"/>
      </w:tblBorders>
    </w:tblPr>
    <w:tblStylePr w:type="firstRow">
      <w:rPr>
        <w:sz w:val="24"/>
        <w:szCs w:val="24"/>
      </w:rPr>
      <w:tblPr/>
      <w:tcPr>
        <w:tcBorders>
          <w:top w:val="nil"/>
          <w:left w:val="nil"/>
          <w:bottom w:val="single" w:color="58B6C0" w:themeColor="accent2" w:sz="24" w:space="0"/>
          <w:right w:val="nil"/>
          <w:insideH w:val="nil"/>
          <w:insideV w:val="nil"/>
        </w:tcBorders>
        <w:shd w:val="clear" w:color="auto" w:fill="FFFFFF" w:themeFill="background1"/>
      </w:tcPr>
    </w:tblStylePr>
    <w:tblStylePr w:type="lastRow">
      <w:tblPr/>
      <w:tcPr>
        <w:tcBorders>
          <w:top w:val="single" w:color="58B6C0"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8B6C0" w:themeColor="accent2" w:sz="8" w:space="0"/>
          <w:insideH w:val="nil"/>
          <w:insideV w:val="nil"/>
        </w:tcBorders>
        <w:shd w:val="clear" w:color="auto" w:fill="FFFFFF" w:themeFill="background1"/>
      </w:tcPr>
    </w:tblStylePr>
    <w:tblStylePr w:type="lastCol">
      <w:tblPr/>
      <w:tcPr>
        <w:tcBorders>
          <w:top w:val="nil"/>
          <w:left w:val="single" w:color="58B6C0"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top w:val="nil"/>
          <w:bottom w:val="nil"/>
          <w:insideH w:val="nil"/>
          <w:insideV w:val="nil"/>
        </w:tcBorders>
        <w:shd w:val="clear" w:color="auto" w:fill="D5ECE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5BDA7" w:themeColor="accent3" w:sz="8" w:space="0"/>
        <w:left w:val="single" w:color="75BDA7" w:themeColor="accent3" w:sz="8" w:space="0"/>
        <w:bottom w:val="single" w:color="75BDA7" w:themeColor="accent3" w:sz="8" w:space="0"/>
        <w:right w:val="single" w:color="75BDA7" w:themeColor="accent3" w:sz="8" w:space="0"/>
      </w:tblBorders>
    </w:tblPr>
    <w:tblStylePr w:type="firstRow">
      <w:rPr>
        <w:sz w:val="24"/>
        <w:szCs w:val="24"/>
      </w:rPr>
      <w:tblPr/>
      <w:tcPr>
        <w:tcBorders>
          <w:top w:val="nil"/>
          <w:left w:val="nil"/>
          <w:bottom w:val="single" w:color="75BDA7" w:themeColor="accent3" w:sz="24" w:space="0"/>
          <w:right w:val="nil"/>
          <w:insideH w:val="nil"/>
          <w:insideV w:val="nil"/>
        </w:tcBorders>
        <w:shd w:val="clear" w:color="auto" w:fill="FFFFFF" w:themeFill="background1"/>
      </w:tcPr>
    </w:tblStylePr>
    <w:tblStylePr w:type="lastRow">
      <w:tblPr/>
      <w:tcPr>
        <w:tcBorders>
          <w:top w:val="single" w:color="75BDA7"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5BDA7" w:themeColor="accent3" w:sz="8" w:space="0"/>
          <w:insideH w:val="nil"/>
          <w:insideV w:val="nil"/>
        </w:tcBorders>
        <w:shd w:val="clear" w:color="auto" w:fill="FFFFFF" w:themeFill="background1"/>
      </w:tcPr>
    </w:tblStylePr>
    <w:tblStylePr w:type="lastCol">
      <w:tblPr/>
      <w:tcPr>
        <w:tcBorders>
          <w:top w:val="nil"/>
          <w:left w:val="single" w:color="75BDA7"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top w:val="nil"/>
          <w:bottom w:val="nil"/>
          <w:insideH w:val="nil"/>
          <w:insideV w:val="nil"/>
        </w:tcBorders>
        <w:shd w:val="clear" w:color="auto" w:fill="DCEEE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A8C8E" w:themeColor="accent4" w:sz="8" w:space="0"/>
        <w:left w:val="single" w:color="7A8C8E" w:themeColor="accent4" w:sz="8" w:space="0"/>
        <w:bottom w:val="single" w:color="7A8C8E" w:themeColor="accent4" w:sz="8" w:space="0"/>
        <w:right w:val="single" w:color="7A8C8E" w:themeColor="accent4" w:sz="8" w:space="0"/>
      </w:tblBorders>
    </w:tblPr>
    <w:tblStylePr w:type="firstRow">
      <w:rPr>
        <w:sz w:val="24"/>
        <w:szCs w:val="24"/>
      </w:rPr>
      <w:tblPr/>
      <w:tcPr>
        <w:tcBorders>
          <w:top w:val="nil"/>
          <w:left w:val="nil"/>
          <w:bottom w:val="single" w:color="7A8C8E" w:themeColor="accent4" w:sz="24" w:space="0"/>
          <w:right w:val="nil"/>
          <w:insideH w:val="nil"/>
          <w:insideV w:val="nil"/>
        </w:tcBorders>
        <w:shd w:val="clear" w:color="auto" w:fill="FFFFFF" w:themeFill="background1"/>
      </w:tcPr>
    </w:tblStylePr>
    <w:tblStylePr w:type="lastRow">
      <w:tblPr/>
      <w:tcPr>
        <w:tcBorders>
          <w:top w:val="single" w:color="7A8C8E"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A8C8E" w:themeColor="accent4" w:sz="8" w:space="0"/>
          <w:insideH w:val="nil"/>
          <w:insideV w:val="nil"/>
        </w:tcBorders>
        <w:shd w:val="clear" w:color="auto" w:fill="FFFFFF" w:themeFill="background1"/>
      </w:tcPr>
    </w:tblStylePr>
    <w:tblStylePr w:type="lastCol">
      <w:tblPr/>
      <w:tcPr>
        <w:tcBorders>
          <w:top w:val="nil"/>
          <w:left w:val="single" w:color="7A8C8E"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top w:val="nil"/>
          <w:bottom w:val="nil"/>
          <w:insideH w:val="nil"/>
          <w:insideV w:val="nil"/>
        </w:tcBorders>
        <w:shd w:val="clear" w:color="auto" w:fill="DEE2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4ACB6" w:themeColor="accent5" w:sz="8" w:space="0"/>
        <w:left w:val="single" w:color="84ACB6" w:themeColor="accent5" w:sz="8" w:space="0"/>
        <w:bottom w:val="single" w:color="84ACB6" w:themeColor="accent5" w:sz="8" w:space="0"/>
        <w:right w:val="single" w:color="84ACB6" w:themeColor="accent5" w:sz="8" w:space="0"/>
      </w:tblBorders>
    </w:tblPr>
    <w:tblStylePr w:type="firstRow">
      <w:rPr>
        <w:sz w:val="24"/>
        <w:szCs w:val="24"/>
      </w:rPr>
      <w:tblPr/>
      <w:tcPr>
        <w:tcBorders>
          <w:top w:val="nil"/>
          <w:left w:val="nil"/>
          <w:bottom w:val="single" w:color="84ACB6" w:themeColor="accent5" w:sz="24" w:space="0"/>
          <w:right w:val="nil"/>
          <w:insideH w:val="nil"/>
          <w:insideV w:val="nil"/>
        </w:tcBorders>
        <w:shd w:val="clear" w:color="auto" w:fill="FFFFFF" w:themeFill="background1"/>
      </w:tcPr>
    </w:tblStylePr>
    <w:tblStylePr w:type="lastRow">
      <w:tblPr/>
      <w:tcPr>
        <w:tcBorders>
          <w:top w:val="single" w:color="84ACB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4ACB6" w:themeColor="accent5" w:sz="8" w:space="0"/>
          <w:insideH w:val="nil"/>
          <w:insideV w:val="nil"/>
        </w:tcBorders>
        <w:shd w:val="clear" w:color="auto" w:fill="FFFFFF" w:themeFill="background1"/>
      </w:tcPr>
    </w:tblStylePr>
    <w:tblStylePr w:type="lastCol">
      <w:tblPr/>
      <w:tcPr>
        <w:tcBorders>
          <w:top w:val="nil"/>
          <w:left w:val="single" w:color="84ACB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top w:val="nil"/>
          <w:bottom w:val="nil"/>
          <w:insideH w:val="nil"/>
          <w:insideV w:val="nil"/>
        </w:tcBorders>
        <w:shd w:val="clear" w:color="auto" w:fill="E0EAE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2683C6" w:themeColor="accent6" w:sz="8" w:space="0"/>
        <w:left w:val="single" w:color="2683C6" w:themeColor="accent6" w:sz="8" w:space="0"/>
        <w:bottom w:val="single" w:color="2683C6" w:themeColor="accent6" w:sz="8" w:space="0"/>
        <w:right w:val="single" w:color="2683C6" w:themeColor="accent6" w:sz="8" w:space="0"/>
      </w:tblBorders>
    </w:tblPr>
    <w:tblStylePr w:type="firstRow">
      <w:rPr>
        <w:sz w:val="24"/>
        <w:szCs w:val="24"/>
      </w:rPr>
      <w:tblPr/>
      <w:tcPr>
        <w:tcBorders>
          <w:top w:val="nil"/>
          <w:left w:val="nil"/>
          <w:bottom w:val="single" w:color="2683C6" w:themeColor="accent6" w:sz="24" w:space="0"/>
          <w:right w:val="nil"/>
          <w:insideH w:val="nil"/>
          <w:insideV w:val="nil"/>
        </w:tcBorders>
        <w:shd w:val="clear" w:color="auto" w:fill="FFFFFF" w:themeFill="background1"/>
      </w:tcPr>
    </w:tblStylePr>
    <w:tblStylePr w:type="lastRow">
      <w:tblPr/>
      <w:tcPr>
        <w:tcBorders>
          <w:top w:val="single" w:color="2683C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2683C6" w:themeColor="accent6" w:sz="8" w:space="0"/>
          <w:insideH w:val="nil"/>
          <w:insideV w:val="nil"/>
        </w:tcBorders>
        <w:shd w:val="clear" w:color="auto" w:fill="FFFFFF" w:themeFill="background1"/>
      </w:tcPr>
    </w:tblStylePr>
    <w:tblStylePr w:type="lastCol">
      <w:tblPr/>
      <w:tcPr>
        <w:tcBorders>
          <w:top w:val="nil"/>
          <w:left w:val="single" w:color="2683C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top w:val="nil"/>
          <w:bottom w:val="nil"/>
          <w:insideH w:val="nil"/>
          <w:insideV w:val="nil"/>
        </w:tcBorders>
        <w:shd w:val="clear" w:color="auto" w:fill="C5E0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5FB1D2" w:themeColor="accent1" w:themeTint="BF" w:sz="8" w:space="0"/>
        <w:left w:val="single" w:color="5FB1D2" w:themeColor="accent1" w:themeTint="BF" w:sz="8" w:space="0"/>
        <w:bottom w:val="single" w:color="5FB1D2" w:themeColor="accent1" w:themeTint="BF" w:sz="8" w:space="0"/>
        <w:right w:val="single" w:color="5FB1D2" w:themeColor="accent1" w:themeTint="BF" w:sz="8" w:space="0"/>
        <w:insideH w:val="single" w:color="5FB1D2" w:themeColor="accent1" w:themeTint="BF" w:sz="8" w:space="0"/>
        <w:insideV w:val="single" w:color="5FB1D2" w:themeColor="accent1" w:themeTint="BF" w:sz="8" w:space="0"/>
      </w:tblBorders>
    </w:tblPr>
    <w:tcPr>
      <w:shd w:val="clear" w:color="auto" w:fill="CAE5F0" w:themeFill="accent1" w:themeFillTint="3F"/>
    </w:tcPr>
    <w:tblStylePr w:type="firstRow">
      <w:rPr>
        <w:b/>
        <w:bCs/>
      </w:rPr>
    </w:tblStylePr>
    <w:tblStylePr w:type="lastRow">
      <w:rPr>
        <w:b/>
        <w:bCs/>
      </w:rPr>
      <w:tblPr/>
      <w:tcPr>
        <w:tcBorders>
          <w:top w:val="single" w:color="5FB1D2" w:themeColor="accent1" w:themeTint="BF" w:sz="18" w:space="0"/>
        </w:tcBorders>
      </w:tcPr>
    </w:tblStylePr>
    <w:tblStylePr w:type="firstCol">
      <w:rPr>
        <w:b/>
        <w:bCs/>
      </w:rPr>
    </w:tblStylePr>
    <w:tblStylePr w:type="lastCol">
      <w:rPr>
        <w:b/>
        <w:bCs/>
      </w:r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81C8CF" w:themeColor="accent2" w:themeTint="BF" w:sz="8" w:space="0"/>
        <w:left w:val="single" w:color="81C8CF" w:themeColor="accent2" w:themeTint="BF" w:sz="8" w:space="0"/>
        <w:bottom w:val="single" w:color="81C8CF" w:themeColor="accent2" w:themeTint="BF" w:sz="8" w:space="0"/>
        <w:right w:val="single" w:color="81C8CF" w:themeColor="accent2" w:themeTint="BF" w:sz="8" w:space="0"/>
        <w:insideH w:val="single" w:color="81C8CF" w:themeColor="accent2" w:themeTint="BF" w:sz="8" w:space="0"/>
        <w:insideV w:val="single" w:color="81C8CF" w:themeColor="accent2" w:themeTint="BF" w:sz="8" w:space="0"/>
      </w:tblBorders>
    </w:tblPr>
    <w:tcPr>
      <w:shd w:val="clear" w:color="auto" w:fill="D5ECEF" w:themeFill="accent2" w:themeFillTint="3F"/>
    </w:tcPr>
    <w:tblStylePr w:type="firstRow">
      <w:rPr>
        <w:b/>
        <w:bCs/>
      </w:rPr>
    </w:tblStylePr>
    <w:tblStylePr w:type="lastRow">
      <w:rPr>
        <w:b/>
        <w:bCs/>
      </w:rPr>
      <w:tblPr/>
      <w:tcPr>
        <w:tcBorders>
          <w:top w:val="single" w:color="81C8CF" w:themeColor="accent2" w:themeTint="BF" w:sz="18" w:space="0"/>
        </w:tcBorders>
      </w:tcPr>
    </w:tblStylePr>
    <w:tblStylePr w:type="firstCol">
      <w:rPr>
        <w:b/>
        <w:bCs/>
      </w:rPr>
    </w:tblStylePr>
    <w:tblStylePr w:type="lastCol">
      <w:rPr>
        <w:b/>
        <w:bCs/>
      </w:r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97CDBC" w:themeColor="accent3" w:themeTint="BF" w:sz="8" w:space="0"/>
        <w:left w:val="single" w:color="97CDBC" w:themeColor="accent3" w:themeTint="BF" w:sz="8" w:space="0"/>
        <w:bottom w:val="single" w:color="97CDBC" w:themeColor="accent3" w:themeTint="BF" w:sz="8" w:space="0"/>
        <w:right w:val="single" w:color="97CDBC" w:themeColor="accent3" w:themeTint="BF" w:sz="8" w:space="0"/>
        <w:insideH w:val="single" w:color="97CDBC" w:themeColor="accent3" w:themeTint="BF" w:sz="8" w:space="0"/>
        <w:insideV w:val="single" w:color="97CDBC" w:themeColor="accent3" w:themeTint="BF" w:sz="8" w:space="0"/>
      </w:tblBorders>
    </w:tblPr>
    <w:tcPr>
      <w:shd w:val="clear" w:color="auto" w:fill="DCEEE9" w:themeFill="accent3" w:themeFillTint="3F"/>
    </w:tcPr>
    <w:tblStylePr w:type="firstRow">
      <w:rPr>
        <w:b/>
        <w:bCs/>
      </w:rPr>
    </w:tblStylePr>
    <w:tblStylePr w:type="lastRow">
      <w:rPr>
        <w:b/>
        <w:bCs/>
      </w:rPr>
      <w:tblPr/>
      <w:tcPr>
        <w:tcBorders>
          <w:top w:val="single" w:color="97CDBC" w:themeColor="accent3" w:themeTint="BF" w:sz="18" w:space="0"/>
        </w:tcBorders>
      </w:tcPr>
    </w:tblStylePr>
    <w:tblStylePr w:type="firstCol">
      <w:rPr>
        <w:b/>
        <w:bCs/>
      </w:rPr>
    </w:tblStylePr>
    <w:tblStylePr w:type="lastCol">
      <w:rPr>
        <w:b/>
        <w:bCs/>
      </w:r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BA8AA" w:themeColor="accent4" w:themeTint="BF" w:sz="8" w:space="0"/>
        <w:left w:val="single" w:color="9BA8AA" w:themeColor="accent4" w:themeTint="BF" w:sz="8" w:space="0"/>
        <w:bottom w:val="single" w:color="9BA8AA" w:themeColor="accent4" w:themeTint="BF" w:sz="8" w:space="0"/>
        <w:right w:val="single" w:color="9BA8AA" w:themeColor="accent4" w:themeTint="BF" w:sz="8" w:space="0"/>
        <w:insideH w:val="single" w:color="9BA8AA" w:themeColor="accent4" w:themeTint="BF" w:sz="8" w:space="0"/>
        <w:insideV w:val="single" w:color="9BA8AA" w:themeColor="accent4" w:themeTint="BF" w:sz="8" w:space="0"/>
      </w:tblBorders>
    </w:tblPr>
    <w:tcPr>
      <w:shd w:val="clear" w:color="auto" w:fill="DEE2E3" w:themeFill="accent4" w:themeFillTint="3F"/>
    </w:tcPr>
    <w:tblStylePr w:type="firstRow">
      <w:rPr>
        <w:b/>
        <w:bCs/>
      </w:rPr>
    </w:tblStylePr>
    <w:tblStylePr w:type="lastRow">
      <w:rPr>
        <w:b/>
        <w:bCs/>
      </w:rPr>
      <w:tblPr/>
      <w:tcPr>
        <w:tcBorders>
          <w:top w:val="single" w:color="9BA8AA" w:themeColor="accent4" w:themeTint="BF" w:sz="18" w:space="0"/>
        </w:tcBorders>
      </w:tcPr>
    </w:tblStylePr>
    <w:tblStylePr w:type="firstCol">
      <w:rPr>
        <w:b/>
        <w:bCs/>
      </w:rPr>
    </w:tblStylePr>
    <w:tblStylePr w:type="lastCol">
      <w:rPr>
        <w:b/>
        <w:bCs/>
      </w:r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A2C0C8" w:themeColor="accent5" w:themeTint="BF" w:sz="8" w:space="0"/>
        <w:left w:val="single" w:color="A2C0C8" w:themeColor="accent5" w:themeTint="BF" w:sz="8" w:space="0"/>
        <w:bottom w:val="single" w:color="A2C0C8" w:themeColor="accent5" w:themeTint="BF" w:sz="8" w:space="0"/>
        <w:right w:val="single" w:color="A2C0C8" w:themeColor="accent5" w:themeTint="BF" w:sz="8" w:space="0"/>
        <w:insideH w:val="single" w:color="A2C0C8" w:themeColor="accent5" w:themeTint="BF" w:sz="8" w:space="0"/>
        <w:insideV w:val="single" w:color="A2C0C8" w:themeColor="accent5" w:themeTint="BF" w:sz="8" w:space="0"/>
      </w:tblBorders>
    </w:tblPr>
    <w:tcPr>
      <w:shd w:val="clear" w:color="auto" w:fill="E0EAED" w:themeFill="accent5" w:themeFillTint="3F"/>
    </w:tcPr>
    <w:tblStylePr w:type="firstRow">
      <w:rPr>
        <w:b/>
        <w:bCs/>
      </w:rPr>
    </w:tblStylePr>
    <w:tblStylePr w:type="lastRow">
      <w:rPr>
        <w:b/>
        <w:bCs/>
      </w:rPr>
      <w:tblPr/>
      <w:tcPr>
        <w:tcBorders>
          <w:top w:val="single" w:color="A2C0C8" w:themeColor="accent5" w:themeTint="BF" w:sz="18" w:space="0"/>
        </w:tcBorders>
      </w:tcPr>
    </w:tblStylePr>
    <w:tblStylePr w:type="firstCol">
      <w:rPr>
        <w:b/>
        <w:bCs/>
      </w:rPr>
    </w:tblStylePr>
    <w:tblStylePr w:type="lastCol">
      <w:rPr>
        <w:b/>
        <w:bCs/>
      </w:r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52A3DE" w:themeColor="accent6" w:themeTint="BF" w:sz="8" w:space="0"/>
        <w:left w:val="single" w:color="52A3DE" w:themeColor="accent6" w:themeTint="BF" w:sz="8" w:space="0"/>
        <w:bottom w:val="single" w:color="52A3DE" w:themeColor="accent6" w:themeTint="BF" w:sz="8" w:space="0"/>
        <w:right w:val="single" w:color="52A3DE" w:themeColor="accent6" w:themeTint="BF" w:sz="8" w:space="0"/>
        <w:insideH w:val="single" w:color="52A3DE" w:themeColor="accent6" w:themeTint="BF" w:sz="8" w:space="0"/>
        <w:insideV w:val="single" w:color="52A3DE" w:themeColor="accent6" w:themeTint="BF" w:sz="8" w:space="0"/>
      </w:tblBorders>
    </w:tblPr>
    <w:tcPr>
      <w:shd w:val="clear" w:color="auto" w:fill="C5E0F4" w:themeFill="accent6" w:themeFillTint="3F"/>
    </w:tcPr>
    <w:tblStylePr w:type="firstRow">
      <w:rPr>
        <w:b/>
        <w:bCs/>
      </w:rPr>
    </w:tblStylePr>
    <w:tblStylePr w:type="lastRow">
      <w:rPr>
        <w:b/>
        <w:bCs/>
      </w:rPr>
      <w:tblPr/>
      <w:tcPr>
        <w:tcBorders>
          <w:top w:val="single" w:color="52A3DE" w:themeColor="accent6" w:themeTint="BF" w:sz="18" w:space="0"/>
        </w:tcBorders>
      </w:tcPr>
    </w:tblStylePr>
    <w:tblStylePr w:type="firstCol">
      <w:rPr>
        <w:b/>
        <w:bCs/>
      </w:rPr>
    </w:tblStylePr>
    <w:tblStylePr w:type="lastCol">
      <w:rPr>
        <w:b/>
        <w:bCs/>
      </w:r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94BA" w:themeColor="accent1" w:sz="8" w:space="0"/>
        <w:left w:val="single" w:color="3494BA" w:themeColor="accent1" w:sz="8" w:space="0"/>
        <w:bottom w:val="single" w:color="3494BA" w:themeColor="accent1" w:sz="8" w:space="0"/>
        <w:right w:val="single" w:color="3494BA" w:themeColor="accent1" w:sz="8" w:space="0"/>
        <w:insideH w:val="single" w:color="3494BA" w:themeColor="accent1" w:sz="8" w:space="0"/>
        <w:insideV w:val="single" w:color="3494BA" w:themeColor="accent1" w:sz="8" w:space="0"/>
      </w:tblBorders>
    </w:tblPr>
    <w:tcPr>
      <w:shd w:val="clear" w:color="auto" w:fill="CAE5F0" w:themeFill="accent1" w:themeFillTint="3F"/>
    </w:tcPr>
    <w:tblStylePr w:type="firstRow">
      <w:rPr>
        <w:b/>
        <w:bCs/>
        <w:color w:val="000000" w:themeColor="text1"/>
      </w:rPr>
      <w:tblPr/>
      <w:tcPr>
        <w:shd w:val="clear" w:color="auto" w:fill="EAF4F9"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AF3" w:themeFill="accent1" w:themeFillTint="33"/>
      </w:tcPr>
    </w:tblStylePr>
    <w:tblStylePr w:type="band1Vert">
      <w:tblPr/>
      <w:tcPr>
        <w:shd w:val="clear" w:color="auto" w:fill="94CBE1" w:themeFill="accent1" w:themeFillTint="7F"/>
      </w:tcPr>
    </w:tblStylePr>
    <w:tblStylePr w:type="band1Horz">
      <w:tblPr/>
      <w:tcPr>
        <w:tcBorders>
          <w:insideH w:val="single" w:color="3494BA" w:themeColor="accent1" w:sz="6" w:space="0"/>
          <w:insideV w:val="single" w:color="3494BA" w:themeColor="accent1" w:sz="6" w:space="0"/>
        </w:tcBorders>
        <w:shd w:val="clear" w:color="auto" w:fill="94CB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58B6C0" w:themeColor="accent2" w:sz="8" w:space="0"/>
        <w:left w:val="single" w:color="58B6C0" w:themeColor="accent2" w:sz="8" w:space="0"/>
        <w:bottom w:val="single" w:color="58B6C0" w:themeColor="accent2" w:sz="8" w:space="0"/>
        <w:right w:val="single" w:color="58B6C0" w:themeColor="accent2" w:sz="8" w:space="0"/>
        <w:insideH w:val="single" w:color="58B6C0" w:themeColor="accent2" w:sz="8" w:space="0"/>
        <w:insideV w:val="single" w:color="58B6C0" w:themeColor="accent2" w:sz="8" w:space="0"/>
      </w:tblBorders>
    </w:tblPr>
    <w:tcPr>
      <w:shd w:val="clear" w:color="auto" w:fill="D5ECEF" w:themeFill="accent2" w:themeFillTint="3F"/>
    </w:tcPr>
    <w:tblStylePr w:type="firstRow">
      <w:rPr>
        <w:b/>
        <w:bCs/>
        <w:color w:val="000000" w:themeColor="text1"/>
      </w:rPr>
      <w:tblPr/>
      <w:tcPr>
        <w:shd w:val="clear" w:color="auto" w:fill="EEF7F8"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0F2" w:themeFill="accent2" w:themeFillTint="33"/>
      </w:tcPr>
    </w:tblStylePr>
    <w:tblStylePr w:type="band1Vert">
      <w:tblPr/>
      <w:tcPr>
        <w:shd w:val="clear" w:color="auto" w:fill="ABDADF" w:themeFill="accent2" w:themeFillTint="7F"/>
      </w:tcPr>
    </w:tblStylePr>
    <w:tblStylePr w:type="band1Horz">
      <w:tblPr/>
      <w:tcPr>
        <w:tcBorders>
          <w:insideH w:val="single" w:color="58B6C0" w:themeColor="accent2" w:sz="6" w:space="0"/>
          <w:insideV w:val="single" w:color="58B6C0" w:themeColor="accent2" w:sz="6" w:space="0"/>
        </w:tcBorders>
        <w:shd w:val="clear" w:color="auto" w:fill="ABDAD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5BDA7" w:themeColor="accent3" w:sz="8" w:space="0"/>
        <w:left w:val="single" w:color="75BDA7" w:themeColor="accent3" w:sz="8" w:space="0"/>
        <w:bottom w:val="single" w:color="75BDA7" w:themeColor="accent3" w:sz="8" w:space="0"/>
        <w:right w:val="single" w:color="75BDA7" w:themeColor="accent3" w:sz="8" w:space="0"/>
        <w:insideH w:val="single" w:color="75BDA7" w:themeColor="accent3" w:sz="8" w:space="0"/>
        <w:insideV w:val="single" w:color="75BDA7" w:themeColor="accent3" w:sz="8" w:space="0"/>
      </w:tblBorders>
    </w:tblPr>
    <w:tcPr>
      <w:shd w:val="clear" w:color="auto" w:fill="DCEEE9" w:themeFill="accent3" w:themeFillTint="3F"/>
    </w:tcPr>
    <w:tblStylePr w:type="firstRow">
      <w:rPr>
        <w:b/>
        <w:bCs/>
        <w:color w:val="000000" w:themeColor="text1"/>
      </w:rPr>
      <w:tblPr/>
      <w:tcPr>
        <w:shd w:val="clear" w:color="auto" w:fill="F1F8F6"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1ED" w:themeFill="accent3" w:themeFillTint="33"/>
      </w:tcPr>
    </w:tblStylePr>
    <w:tblStylePr w:type="band1Vert">
      <w:tblPr/>
      <w:tcPr>
        <w:shd w:val="clear" w:color="auto" w:fill="BADED3" w:themeFill="accent3" w:themeFillTint="7F"/>
      </w:tcPr>
    </w:tblStylePr>
    <w:tblStylePr w:type="band1Horz">
      <w:tblPr/>
      <w:tcPr>
        <w:tcBorders>
          <w:insideH w:val="single" w:color="75BDA7" w:themeColor="accent3" w:sz="6" w:space="0"/>
          <w:insideV w:val="single" w:color="75BDA7" w:themeColor="accent3" w:sz="6" w:space="0"/>
        </w:tcBorders>
        <w:shd w:val="clear" w:color="auto" w:fill="BADED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A8C8E" w:themeColor="accent4" w:sz="8" w:space="0"/>
        <w:left w:val="single" w:color="7A8C8E" w:themeColor="accent4" w:sz="8" w:space="0"/>
        <w:bottom w:val="single" w:color="7A8C8E" w:themeColor="accent4" w:sz="8" w:space="0"/>
        <w:right w:val="single" w:color="7A8C8E" w:themeColor="accent4" w:sz="8" w:space="0"/>
        <w:insideH w:val="single" w:color="7A8C8E" w:themeColor="accent4" w:sz="8" w:space="0"/>
        <w:insideV w:val="single" w:color="7A8C8E" w:themeColor="accent4" w:sz="8" w:space="0"/>
      </w:tblBorders>
    </w:tblPr>
    <w:tcPr>
      <w:shd w:val="clear" w:color="auto" w:fill="DEE2E3" w:themeFill="accent4" w:themeFillTint="3F"/>
    </w:tcPr>
    <w:tblStylePr w:type="firstRow">
      <w:rPr>
        <w:b/>
        <w:bCs/>
        <w:color w:val="000000" w:themeColor="text1"/>
      </w:rPr>
      <w:tblPr/>
      <w:tcPr>
        <w:shd w:val="clear" w:color="auto" w:fill="F1F3F3"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7E8" w:themeFill="accent4" w:themeFillTint="33"/>
      </w:tcPr>
    </w:tblStylePr>
    <w:tblStylePr w:type="band1Vert">
      <w:tblPr/>
      <w:tcPr>
        <w:shd w:val="clear" w:color="auto" w:fill="BCC5C6" w:themeFill="accent4" w:themeFillTint="7F"/>
      </w:tcPr>
    </w:tblStylePr>
    <w:tblStylePr w:type="band1Horz">
      <w:tblPr/>
      <w:tcPr>
        <w:tcBorders>
          <w:insideH w:val="single" w:color="7A8C8E" w:themeColor="accent4" w:sz="6" w:space="0"/>
          <w:insideV w:val="single" w:color="7A8C8E" w:themeColor="accent4" w:sz="6" w:space="0"/>
        </w:tcBorders>
        <w:shd w:val="clear" w:color="auto" w:fill="BCC5C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4ACB6" w:themeColor="accent5" w:sz="8" w:space="0"/>
        <w:left w:val="single" w:color="84ACB6" w:themeColor="accent5" w:sz="8" w:space="0"/>
        <w:bottom w:val="single" w:color="84ACB6" w:themeColor="accent5" w:sz="8" w:space="0"/>
        <w:right w:val="single" w:color="84ACB6" w:themeColor="accent5" w:sz="8" w:space="0"/>
        <w:insideH w:val="single" w:color="84ACB6" w:themeColor="accent5" w:sz="8" w:space="0"/>
        <w:insideV w:val="single" w:color="84ACB6" w:themeColor="accent5" w:sz="8" w:space="0"/>
      </w:tblBorders>
    </w:tblPr>
    <w:tcPr>
      <w:shd w:val="clear" w:color="auto" w:fill="E0EAED" w:themeFill="accent5" w:themeFillTint="3F"/>
    </w:tcPr>
    <w:tblStylePr w:type="firstRow">
      <w:rPr>
        <w:b/>
        <w:bCs/>
        <w:color w:val="000000" w:themeColor="text1"/>
      </w:rPr>
      <w:tblPr/>
      <w:tcPr>
        <w:shd w:val="clear" w:color="auto" w:fill="F2F6F7"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EF0" w:themeFill="accent5" w:themeFillTint="33"/>
      </w:tcPr>
    </w:tblStylePr>
    <w:tblStylePr w:type="band1Vert">
      <w:tblPr/>
      <w:tcPr>
        <w:shd w:val="clear" w:color="auto" w:fill="C1D5DA" w:themeFill="accent5" w:themeFillTint="7F"/>
      </w:tcPr>
    </w:tblStylePr>
    <w:tblStylePr w:type="band1Horz">
      <w:tblPr/>
      <w:tcPr>
        <w:tcBorders>
          <w:insideH w:val="single" w:color="84ACB6" w:themeColor="accent5" w:sz="6" w:space="0"/>
          <w:insideV w:val="single" w:color="84ACB6" w:themeColor="accent5" w:sz="6" w:space="0"/>
        </w:tcBorders>
        <w:shd w:val="clear" w:color="auto" w:fill="C1D5D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2683C6" w:themeColor="accent6" w:sz="8" w:space="0"/>
        <w:left w:val="single" w:color="2683C6" w:themeColor="accent6" w:sz="8" w:space="0"/>
        <w:bottom w:val="single" w:color="2683C6" w:themeColor="accent6" w:sz="8" w:space="0"/>
        <w:right w:val="single" w:color="2683C6" w:themeColor="accent6" w:sz="8" w:space="0"/>
        <w:insideH w:val="single" w:color="2683C6" w:themeColor="accent6" w:sz="8" w:space="0"/>
        <w:insideV w:val="single" w:color="2683C6" w:themeColor="accent6" w:sz="8" w:space="0"/>
      </w:tblBorders>
    </w:tblPr>
    <w:tcPr>
      <w:shd w:val="clear" w:color="auto" w:fill="C5E0F4" w:themeFill="accent6" w:themeFillTint="3F"/>
    </w:tcPr>
    <w:tblStylePr w:type="firstRow">
      <w:rPr>
        <w:b/>
        <w:bCs/>
        <w:color w:val="000000" w:themeColor="text1"/>
      </w:rPr>
      <w:tblPr/>
      <w:tcPr>
        <w:shd w:val="clear" w:color="auto" w:fill="E8F2FA"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6F6" w:themeFill="accent6" w:themeFillTint="33"/>
      </w:tcPr>
    </w:tblStylePr>
    <w:tblStylePr w:type="band1Vert">
      <w:tblPr/>
      <w:tcPr>
        <w:shd w:val="clear" w:color="auto" w:fill="8CC2E9" w:themeFill="accent6" w:themeFillTint="7F"/>
      </w:tcPr>
    </w:tblStylePr>
    <w:tblStylePr w:type="band1Horz">
      <w:tblPr/>
      <w:tcPr>
        <w:tcBorders>
          <w:insideH w:val="single" w:color="2683C6" w:themeColor="accent6" w:sz="6" w:space="0"/>
          <w:insideV w:val="single" w:color="2683C6" w:themeColor="accent6" w:sz="6" w:space="0"/>
        </w:tcBorders>
        <w:shd w:val="clear" w:color="auto" w:fill="8CC2E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AE5F0"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3494BA"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3494BA"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3494BA"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3494BA"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4CB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4CB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5ECEF"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58B6C0"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58B6C0"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58B6C0"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58B6C0"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BDADF"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BDADF"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CEEE9"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75BDA7"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75BDA7"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75BDA7"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75BDA7"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ADED3"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ADED3"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EE2E3"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7A8C8E"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7A8C8E"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7A8C8E"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7A8C8E"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CC5C6"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CC5C6"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0EAED"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4ACB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4ACB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4ACB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4ACB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1D5D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1D5D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5E0F4"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2683C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2683C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2683C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2683C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CC2E9"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CC2E9"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3494BA"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A495C"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76E8B"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76E8B" w:themeFill="accent1" w:themeFillShade="BF"/>
      </w:tcPr>
    </w:tblStylePr>
    <w:tblStylePr w:type="band1Vert">
      <w:tblPr/>
      <w:tcPr>
        <w:tcBorders>
          <w:top w:val="nil"/>
          <w:left w:val="nil"/>
          <w:bottom w:val="nil"/>
          <w:right w:val="nil"/>
          <w:insideH w:val="nil"/>
          <w:insideV w:val="nil"/>
        </w:tcBorders>
        <w:shd w:val="clear" w:color="auto" w:fill="276E8B" w:themeFill="accent1" w:themeFillShade="BF"/>
      </w:tcPr>
    </w:tblStylePr>
    <w:tblStylePr w:type="band1Horz">
      <w:tblPr/>
      <w:tcPr>
        <w:tcBorders>
          <w:top w:val="nil"/>
          <w:left w:val="nil"/>
          <w:bottom w:val="nil"/>
          <w:right w:val="nil"/>
          <w:insideH w:val="nil"/>
          <w:insideV w:val="nil"/>
        </w:tcBorders>
        <w:shd w:val="clear" w:color="auto" w:fill="276E8B"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58B6C0"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65E65"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398E98"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398E98" w:themeFill="accent2" w:themeFillShade="BF"/>
      </w:tcPr>
    </w:tblStylePr>
    <w:tblStylePr w:type="band1Vert">
      <w:tblPr/>
      <w:tcPr>
        <w:tcBorders>
          <w:top w:val="nil"/>
          <w:left w:val="nil"/>
          <w:bottom w:val="nil"/>
          <w:right w:val="nil"/>
          <w:insideH w:val="nil"/>
          <w:insideV w:val="nil"/>
        </w:tcBorders>
        <w:shd w:val="clear" w:color="auto" w:fill="398E98" w:themeFill="accent2" w:themeFillShade="BF"/>
      </w:tcPr>
    </w:tblStylePr>
    <w:tblStylePr w:type="band1Horz">
      <w:tblPr/>
      <w:tcPr>
        <w:tcBorders>
          <w:top w:val="nil"/>
          <w:left w:val="nil"/>
          <w:bottom w:val="nil"/>
          <w:right w:val="nil"/>
          <w:insideH w:val="nil"/>
          <w:insideV w:val="nil"/>
        </w:tcBorders>
        <w:shd w:val="clear" w:color="auto" w:fill="398E98"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75BDA7"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16756"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4A9A82"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4A9A82" w:themeFill="accent3" w:themeFillShade="BF"/>
      </w:tcPr>
    </w:tblStylePr>
    <w:tblStylePr w:type="band1Vert">
      <w:tblPr/>
      <w:tcPr>
        <w:tcBorders>
          <w:top w:val="nil"/>
          <w:left w:val="nil"/>
          <w:bottom w:val="nil"/>
          <w:right w:val="nil"/>
          <w:insideH w:val="nil"/>
          <w:insideV w:val="nil"/>
        </w:tcBorders>
        <w:shd w:val="clear" w:color="auto" w:fill="4A9A82" w:themeFill="accent3" w:themeFillShade="BF"/>
      </w:tcPr>
    </w:tblStylePr>
    <w:tblStylePr w:type="band1Horz">
      <w:tblPr/>
      <w:tcPr>
        <w:tcBorders>
          <w:top w:val="nil"/>
          <w:left w:val="nil"/>
          <w:bottom w:val="nil"/>
          <w:right w:val="nil"/>
          <w:insideH w:val="nil"/>
          <w:insideV w:val="nil"/>
        </w:tcBorders>
        <w:shd w:val="clear" w:color="auto" w:fill="4A9A82"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7A8C8E"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C4546"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A696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A696A" w:themeFill="accent4" w:themeFillShade="BF"/>
      </w:tcPr>
    </w:tblStylePr>
    <w:tblStylePr w:type="band1Vert">
      <w:tblPr/>
      <w:tcPr>
        <w:tcBorders>
          <w:top w:val="nil"/>
          <w:left w:val="nil"/>
          <w:bottom w:val="nil"/>
          <w:right w:val="nil"/>
          <w:insideH w:val="nil"/>
          <w:insideV w:val="nil"/>
        </w:tcBorders>
        <w:shd w:val="clear" w:color="auto" w:fill="5A696A" w:themeFill="accent4" w:themeFillShade="BF"/>
      </w:tcPr>
    </w:tblStylePr>
    <w:tblStylePr w:type="band1Horz">
      <w:tblPr/>
      <w:tcPr>
        <w:tcBorders>
          <w:top w:val="nil"/>
          <w:left w:val="nil"/>
          <w:bottom w:val="nil"/>
          <w:right w:val="nil"/>
          <w:insideH w:val="nil"/>
          <w:insideV w:val="nil"/>
        </w:tcBorders>
        <w:shd w:val="clear" w:color="auto" w:fill="5A696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84ACB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A5A62"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578793"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578793" w:themeFill="accent5" w:themeFillShade="BF"/>
      </w:tcPr>
    </w:tblStylePr>
    <w:tblStylePr w:type="band1Vert">
      <w:tblPr/>
      <w:tcPr>
        <w:tcBorders>
          <w:top w:val="nil"/>
          <w:left w:val="nil"/>
          <w:bottom w:val="nil"/>
          <w:right w:val="nil"/>
          <w:insideH w:val="nil"/>
          <w:insideV w:val="nil"/>
        </w:tcBorders>
        <w:shd w:val="clear" w:color="auto" w:fill="578793" w:themeFill="accent5" w:themeFillShade="BF"/>
      </w:tcPr>
    </w:tblStylePr>
    <w:tblStylePr w:type="band1Horz">
      <w:tblPr/>
      <w:tcPr>
        <w:tcBorders>
          <w:top w:val="nil"/>
          <w:left w:val="nil"/>
          <w:bottom w:val="nil"/>
          <w:right w:val="nil"/>
          <w:insideH w:val="nil"/>
          <w:insideV w:val="nil"/>
        </w:tcBorders>
        <w:shd w:val="clear" w:color="auto" w:fill="578793"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2683C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34162"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1C6194"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1C6194" w:themeFill="accent6" w:themeFillShade="BF"/>
      </w:tcPr>
    </w:tblStylePr>
    <w:tblStylePr w:type="band1Vert">
      <w:tblPr/>
      <w:tcPr>
        <w:tcBorders>
          <w:top w:val="nil"/>
          <w:left w:val="nil"/>
          <w:bottom w:val="nil"/>
          <w:right w:val="nil"/>
          <w:insideH w:val="nil"/>
          <w:insideV w:val="nil"/>
        </w:tcBorders>
        <w:shd w:val="clear" w:color="auto" w:fill="1C6194" w:themeFill="accent6" w:themeFillShade="BF"/>
      </w:tcPr>
    </w:tblStylePr>
    <w:tblStylePr w:type="band1Horz">
      <w:tblPr/>
      <w:tcPr>
        <w:tcBorders>
          <w:top w:val="nil"/>
          <w:left w:val="nil"/>
          <w:bottom w:val="nil"/>
          <w:right w:val="nil"/>
          <w:insideH w:val="nil"/>
          <w:insideV w:val="nil"/>
        </w:tcBorders>
        <w:shd w:val="clear" w:color="auto" w:fill="1C6194"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58B6C0"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58B6C0"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58B6C0" w:themeColor="accent2" w:sz="24" w:space="0"/>
        <w:left w:val="single" w:color="3494BA" w:themeColor="accent1" w:sz="4" w:space="0"/>
        <w:bottom w:val="single" w:color="3494BA" w:themeColor="accent1" w:sz="4" w:space="0"/>
        <w:right w:val="single" w:color="3494BA" w:themeColor="accent1" w:sz="4" w:space="0"/>
        <w:insideH w:val="single" w:color="FFFFFF" w:themeColor="background1" w:sz="4" w:space="0"/>
        <w:insideV w:val="single" w:color="FFFFFF" w:themeColor="background1" w:sz="4" w:space="0"/>
      </w:tblBorders>
    </w:tblPr>
    <w:tcPr>
      <w:shd w:val="clear" w:color="auto" w:fill="EAF4F9" w:themeFill="accent1" w:themeFillTint="19"/>
    </w:tcPr>
    <w:tblStylePr w:type="firstRow">
      <w:rPr>
        <w:b/>
        <w:bCs/>
      </w:rPr>
      <w:tblPr/>
      <w:tcPr>
        <w:tcBorders>
          <w:top w:val="nil"/>
          <w:left w:val="nil"/>
          <w:bottom w:val="single" w:color="58B6C0"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F586F" w:themeFill="accent1" w:themeFillShade="99"/>
      </w:tcPr>
    </w:tblStylePr>
    <w:tblStylePr w:type="firstCol">
      <w:rPr>
        <w:color w:val="FFFFFF" w:themeColor="background1"/>
      </w:rPr>
      <w:tblPr/>
      <w:tcPr>
        <w:tcBorders>
          <w:top w:val="nil"/>
          <w:left w:val="nil"/>
          <w:bottom w:val="nil"/>
          <w:right w:val="nil"/>
          <w:insideH w:val="single" w:color="1F586F" w:themeColor="accent1" w:themeShade="99" w:sz="4" w:space="0"/>
          <w:insideV w:val="nil"/>
        </w:tcBorders>
        <w:shd w:val="clear" w:color="auto" w:fill="1F586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586F" w:themeFill="accent1" w:themeFillShade="99"/>
      </w:tcPr>
    </w:tblStylePr>
    <w:tblStylePr w:type="band1Vert">
      <w:tblPr/>
      <w:tcPr>
        <w:shd w:val="clear" w:color="auto" w:fill="A9D5E7" w:themeFill="accent1" w:themeFillTint="66"/>
      </w:tcPr>
    </w:tblStylePr>
    <w:tblStylePr w:type="band1Horz">
      <w:tblPr/>
      <w:tcPr>
        <w:shd w:val="clear" w:color="auto" w:fill="94CB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58B6C0" w:themeColor="accent2" w:sz="24" w:space="0"/>
        <w:left w:val="single" w:color="58B6C0" w:themeColor="accent2" w:sz="4" w:space="0"/>
        <w:bottom w:val="single" w:color="58B6C0" w:themeColor="accent2" w:sz="4" w:space="0"/>
        <w:right w:val="single" w:color="58B6C0" w:themeColor="accent2" w:sz="4" w:space="0"/>
        <w:insideH w:val="single" w:color="FFFFFF" w:themeColor="background1" w:sz="4" w:space="0"/>
        <w:insideV w:val="single" w:color="FFFFFF" w:themeColor="background1" w:sz="4" w:space="0"/>
      </w:tblBorders>
    </w:tblPr>
    <w:tcPr>
      <w:shd w:val="clear" w:color="auto" w:fill="EEF7F8" w:themeFill="accent2" w:themeFillTint="19"/>
    </w:tcPr>
    <w:tblStylePr w:type="firstRow">
      <w:rPr>
        <w:b/>
        <w:bCs/>
      </w:rPr>
      <w:tblPr/>
      <w:tcPr>
        <w:tcBorders>
          <w:top w:val="nil"/>
          <w:left w:val="nil"/>
          <w:bottom w:val="single" w:color="58B6C0"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E7279" w:themeFill="accent2" w:themeFillShade="99"/>
      </w:tcPr>
    </w:tblStylePr>
    <w:tblStylePr w:type="firstCol">
      <w:rPr>
        <w:color w:val="FFFFFF" w:themeColor="background1"/>
      </w:rPr>
      <w:tblPr/>
      <w:tcPr>
        <w:tcBorders>
          <w:top w:val="nil"/>
          <w:left w:val="nil"/>
          <w:bottom w:val="nil"/>
          <w:right w:val="nil"/>
          <w:insideH w:val="single" w:color="2E7279" w:themeColor="accent2" w:themeShade="99" w:sz="4" w:space="0"/>
          <w:insideV w:val="nil"/>
        </w:tcBorders>
        <w:shd w:val="clear" w:color="auto" w:fill="2E72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E7279" w:themeFill="accent2" w:themeFillShade="99"/>
      </w:tcPr>
    </w:tblStylePr>
    <w:tblStylePr w:type="band1Vert">
      <w:tblPr/>
      <w:tcPr>
        <w:shd w:val="clear" w:color="auto" w:fill="BCE1E5" w:themeFill="accent2" w:themeFillTint="66"/>
      </w:tcPr>
    </w:tblStylePr>
    <w:tblStylePr w:type="band1Horz">
      <w:tblPr/>
      <w:tcPr>
        <w:shd w:val="clear" w:color="auto" w:fill="ABDAD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7A8C8E" w:themeColor="accent4" w:sz="24" w:space="0"/>
        <w:left w:val="single" w:color="75BDA7" w:themeColor="accent3" w:sz="4" w:space="0"/>
        <w:bottom w:val="single" w:color="75BDA7" w:themeColor="accent3" w:sz="4" w:space="0"/>
        <w:right w:val="single" w:color="75BDA7" w:themeColor="accent3" w:sz="4" w:space="0"/>
        <w:insideH w:val="single" w:color="FFFFFF" w:themeColor="background1" w:sz="4" w:space="0"/>
        <w:insideV w:val="single" w:color="FFFFFF" w:themeColor="background1" w:sz="4" w:space="0"/>
      </w:tblBorders>
    </w:tblPr>
    <w:tcPr>
      <w:shd w:val="clear" w:color="auto" w:fill="F1F8F6" w:themeFill="accent3" w:themeFillTint="19"/>
    </w:tcPr>
    <w:tblStylePr w:type="firstRow">
      <w:rPr>
        <w:b/>
        <w:bCs/>
      </w:rPr>
      <w:tblPr/>
      <w:tcPr>
        <w:tcBorders>
          <w:top w:val="nil"/>
          <w:left w:val="nil"/>
          <w:bottom w:val="single" w:color="7A8C8E"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3B7C68" w:themeFill="accent3" w:themeFillShade="99"/>
      </w:tcPr>
    </w:tblStylePr>
    <w:tblStylePr w:type="firstCol">
      <w:rPr>
        <w:color w:val="FFFFFF" w:themeColor="background1"/>
      </w:rPr>
      <w:tblPr/>
      <w:tcPr>
        <w:tcBorders>
          <w:top w:val="nil"/>
          <w:left w:val="nil"/>
          <w:bottom w:val="nil"/>
          <w:right w:val="nil"/>
          <w:insideH w:val="single" w:color="3B7C68" w:themeColor="accent3" w:themeShade="99" w:sz="4" w:space="0"/>
          <w:insideV w:val="nil"/>
        </w:tcBorders>
        <w:shd w:val="clear" w:color="auto" w:fill="3B7C6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7C68" w:themeFill="accent3" w:themeFillShade="99"/>
      </w:tcPr>
    </w:tblStylePr>
    <w:tblStylePr w:type="band1Vert">
      <w:tblPr/>
      <w:tcPr>
        <w:shd w:val="clear" w:color="auto" w:fill="C7E4DB" w:themeFill="accent3" w:themeFillTint="66"/>
      </w:tcPr>
    </w:tblStylePr>
    <w:tblStylePr w:type="band1Horz">
      <w:tblPr/>
      <w:tcPr>
        <w:shd w:val="clear" w:color="auto" w:fill="BADED3"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75BDA7" w:themeColor="accent3" w:sz="24" w:space="0"/>
        <w:left w:val="single" w:color="7A8C8E" w:themeColor="accent4" w:sz="4" w:space="0"/>
        <w:bottom w:val="single" w:color="7A8C8E" w:themeColor="accent4" w:sz="4" w:space="0"/>
        <w:right w:val="single" w:color="7A8C8E" w:themeColor="accent4" w:sz="4" w:space="0"/>
        <w:insideH w:val="single" w:color="FFFFFF" w:themeColor="background1" w:sz="4" w:space="0"/>
        <w:insideV w:val="single" w:color="FFFFFF" w:themeColor="background1" w:sz="4" w:space="0"/>
      </w:tblBorders>
    </w:tblPr>
    <w:tcPr>
      <w:shd w:val="clear" w:color="auto" w:fill="F1F3F3" w:themeFill="accent4" w:themeFillTint="19"/>
    </w:tcPr>
    <w:tblStylePr w:type="firstRow">
      <w:rPr>
        <w:b/>
        <w:bCs/>
      </w:rPr>
      <w:tblPr/>
      <w:tcPr>
        <w:tcBorders>
          <w:top w:val="nil"/>
          <w:left w:val="nil"/>
          <w:bottom w:val="single" w:color="75BDA7"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85455" w:themeFill="accent4" w:themeFillShade="99"/>
      </w:tcPr>
    </w:tblStylePr>
    <w:tblStylePr w:type="firstCol">
      <w:rPr>
        <w:color w:val="FFFFFF" w:themeColor="background1"/>
      </w:rPr>
      <w:tblPr/>
      <w:tcPr>
        <w:tcBorders>
          <w:top w:val="nil"/>
          <w:left w:val="nil"/>
          <w:bottom w:val="nil"/>
          <w:right w:val="nil"/>
          <w:insideH w:val="single" w:color="485455" w:themeColor="accent4" w:themeShade="99" w:sz="4" w:space="0"/>
          <w:insideV w:val="nil"/>
        </w:tcBorders>
        <w:shd w:val="clear" w:color="auto" w:fill="48545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85455" w:themeFill="accent4" w:themeFillShade="99"/>
      </w:tcPr>
    </w:tblStylePr>
    <w:tblStylePr w:type="band1Vert">
      <w:tblPr/>
      <w:tcPr>
        <w:shd w:val="clear" w:color="auto" w:fill="C9D0D1" w:themeFill="accent4" w:themeFillTint="66"/>
      </w:tcPr>
    </w:tblStylePr>
    <w:tblStylePr w:type="band1Horz">
      <w:tblPr/>
      <w:tcPr>
        <w:shd w:val="clear" w:color="auto" w:fill="BCC5C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2683C6" w:themeColor="accent6" w:sz="24" w:space="0"/>
        <w:left w:val="single" w:color="84ACB6" w:themeColor="accent5" w:sz="4" w:space="0"/>
        <w:bottom w:val="single" w:color="84ACB6" w:themeColor="accent5" w:sz="4" w:space="0"/>
        <w:right w:val="single" w:color="84ACB6" w:themeColor="accent5" w:sz="4" w:space="0"/>
        <w:insideH w:val="single" w:color="FFFFFF" w:themeColor="background1" w:sz="4" w:space="0"/>
        <w:insideV w:val="single" w:color="FFFFFF" w:themeColor="background1" w:sz="4" w:space="0"/>
      </w:tblBorders>
    </w:tblPr>
    <w:tcPr>
      <w:shd w:val="clear" w:color="auto" w:fill="F2F6F7" w:themeFill="accent5" w:themeFillTint="19"/>
    </w:tcPr>
    <w:tblStylePr w:type="firstRow">
      <w:rPr>
        <w:b/>
        <w:bCs/>
      </w:rPr>
      <w:tblPr/>
      <w:tcPr>
        <w:tcBorders>
          <w:top w:val="nil"/>
          <w:left w:val="nil"/>
          <w:bottom w:val="single" w:color="2683C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66C76" w:themeFill="accent5" w:themeFillShade="99"/>
      </w:tcPr>
    </w:tblStylePr>
    <w:tblStylePr w:type="firstCol">
      <w:rPr>
        <w:color w:val="FFFFFF" w:themeColor="background1"/>
      </w:rPr>
      <w:tblPr/>
      <w:tcPr>
        <w:tcBorders>
          <w:top w:val="nil"/>
          <w:left w:val="nil"/>
          <w:bottom w:val="nil"/>
          <w:right w:val="nil"/>
          <w:insideH w:val="single" w:color="466C76" w:themeColor="accent5" w:themeShade="99" w:sz="4" w:space="0"/>
          <w:insideV w:val="nil"/>
        </w:tcBorders>
        <w:shd w:val="clear" w:color="auto" w:fill="466C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66C76" w:themeFill="accent5" w:themeFillShade="99"/>
      </w:tcPr>
    </w:tblStylePr>
    <w:tblStylePr w:type="band1Vert">
      <w:tblPr/>
      <w:tcPr>
        <w:shd w:val="clear" w:color="auto" w:fill="CDDDE1" w:themeFill="accent5" w:themeFillTint="66"/>
      </w:tcPr>
    </w:tblStylePr>
    <w:tblStylePr w:type="band1Horz">
      <w:tblPr/>
      <w:tcPr>
        <w:shd w:val="clear" w:color="auto" w:fill="C1D5D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84ACB6" w:themeColor="accent5" w:sz="24" w:space="0"/>
        <w:left w:val="single" w:color="2683C6" w:themeColor="accent6" w:sz="4" w:space="0"/>
        <w:bottom w:val="single" w:color="2683C6" w:themeColor="accent6" w:sz="4" w:space="0"/>
        <w:right w:val="single" w:color="2683C6" w:themeColor="accent6" w:sz="4" w:space="0"/>
        <w:insideH w:val="single" w:color="FFFFFF" w:themeColor="background1" w:sz="4" w:space="0"/>
        <w:insideV w:val="single" w:color="FFFFFF" w:themeColor="background1" w:sz="4" w:space="0"/>
      </w:tblBorders>
    </w:tblPr>
    <w:tcPr>
      <w:shd w:val="clear" w:color="auto" w:fill="E8F2FA" w:themeFill="accent6" w:themeFillTint="19"/>
    </w:tcPr>
    <w:tblStylePr w:type="firstRow">
      <w:rPr>
        <w:b/>
        <w:bCs/>
      </w:rPr>
      <w:tblPr/>
      <w:tcPr>
        <w:tcBorders>
          <w:top w:val="nil"/>
          <w:left w:val="nil"/>
          <w:bottom w:val="single" w:color="84ACB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64E76" w:themeFill="accent6" w:themeFillShade="99"/>
      </w:tcPr>
    </w:tblStylePr>
    <w:tblStylePr w:type="firstCol">
      <w:rPr>
        <w:color w:val="FFFFFF" w:themeColor="background1"/>
      </w:rPr>
      <w:tblPr/>
      <w:tcPr>
        <w:tcBorders>
          <w:top w:val="nil"/>
          <w:left w:val="nil"/>
          <w:bottom w:val="nil"/>
          <w:right w:val="nil"/>
          <w:insideH w:val="single" w:color="164E76" w:themeColor="accent6" w:themeShade="99" w:sz="4" w:space="0"/>
          <w:insideV w:val="nil"/>
        </w:tcBorders>
        <w:shd w:val="clear" w:color="auto" w:fill="164E7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64E76" w:themeFill="accent6" w:themeFillShade="99"/>
      </w:tcPr>
    </w:tblStylePr>
    <w:tblStylePr w:type="band1Vert">
      <w:tblPr/>
      <w:tcPr>
        <w:shd w:val="clear" w:color="auto" w:fill="A3CEED" w:themeFill="accent6" w:themeFillTint="66"/>
      </w:tcPr>
    </w:tblStylePr>
    <w:tblStylePr w:type="band1Horz">
      <w:tblPr/>
      <w:tcPr>
        <w:shd w:val="clear" w:color="auto" w:fill="8CC2E9"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3D98A2" w:themeFill="accent2" w:themeFillShade="CC"/>
      </w:tcPr>
    </w:tblStylePr>
    <w:tblStylePr w:type="lastRow">
      <w:rPr>
        <w:b/>
        <w:bCs/>
        <w:color w:val="3D98A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AF4F9" w:themeFill="accent1" w:themeFillTint="19"/>
    </w:tcPr>
    <w:tblStylePr w:type="firstRow">
      <w:rPr>
        <w:b/>
        <w:bCs/>
        <w:color w:val="FFFFFF" w:themeColor="background1"/>
      </w:rPr>
      <w:tblPr/>
      <w:tcPr>
        <w:tcBorders>
          <w:bottom w:val="single" w:color="FFFFFF" w:themeColor="background1" w:sz="12" w:space="0"/>
        </w:tcBorders>
        <w:shd w:val="clear" w:color="auto" w:fill="3D98A2" w:themeFill="accent2" w:themeFillShade="CC"/>
      </w:tcPr>
    </w:tblStylePr>
    <w:tblStylePr w:type="lastRow">
      <w:rPr>
        <w:b/>
        <w:bCs/>
        <w:color w:val="3D98A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E5F0" w:themeFill="accent1" w:themeFillTint="3F"/>
      </w:tcPr>
    </w:tblStylePr>
    <w:tblStylePr w:type="band1Horz">
      <w:tblPr/>
      <w:tcPr>
        <w:shd w:val="clear" w:color="auto" w:fill="D4EA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EEF7F8" w:themeFill="accent2" w:themeFillTint="19"/>
    </w:tcPr>
    <w:tblStylePr w:type="firstRow">
      <w:rPr>
        <w:b/>
        <w:bCs/>
        <w:color w:val="FFFFFF" w:themeColor="background1"/>
      </w:rPr>
      <w:tblPr/>
      <w:tcPr>
        <w:tcBorders>
          <w:bottom w:val="single" w:color="FFFFFF" w:themeColor="background1" w:sz="12" w:space="0"/>
        </w:tcBorders>
        <w:shd w:val="clear" w:color="auto" w:fill="3D98A2" w:themeFill="accent2" w:themeFillShade="CC"/>
      </w:tcPr>
    </w:tblStylePr>
    <w:tblStylePr w:type="lastRow">
      <w:rPr>
        <w:b/>
        <w:bCs/>
        <w:color w:val="3D98A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EF" w:themeFill="accent2" w:themeFillTint="3F"/>
      </w:tcPr>
    </w:tblStylePr>
    <w:tblStylePr w:type="band1Horz">
      <w:tblPr/>
      <w:tcPr>
        <w:shd w:val="clear" w:color="auto" w:fill="DDF0F2"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1F8F6" w:themeFill="accent3" w:themeFillTint="19"/>
    </w:tcPr>
    <w:tblStylePr w:type="firstRow">
      <w:rPr>
        <w:b/>
        <w:bCs/>
        <w:color w:val="FFFFFF" w:themeColor="background1"/>
      </w:rPr>
      <w:tblPr/>
      <w:tcPr>
        <w:tcBorders>
          <w:bottom w:val="single" w:color="FFFFFF" w:themeColor="background1" w:sz="12" w:space="0"/>
        </w:tcBorders>
        <w:shd w:val="clear" w:color="auto" w:fill="617072" w:themeFill="accent4" w:themeFillShade="CC"/>
      </w:tcPr>
    </w:tblStylePr>
    <w:tblStylePr w:type="lastRow">
      <w:rPr>
        <w:b/>
        <w:bCs/>
        <w:color w:val="61707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EE9" w:themeFill="accent3" w:themeFillTint="3F"/>
      </w:tcPr>
    </w:tblStylePr>
    <w:tblStylePr w:type="band1Horz">
      <w:tblPr/>
      <w:tcPr>
        <w:shd w:val="clear" w:color="auto" w:fill="E3F1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1F3F3" w:themeFill="accent4" w:themeFillTint="19"/>
    </w:tcPr>
    <w:tblStylePr w:type="firstRow">
      <w:rPr>
        <w:b/>
        <w:bCs/>
        <w:color w:val="FFFFFF" w:themeColor="background1"/>
      </w:rPr>
      <w:tblPr/>
      <w:tcPr>
        <w:tcBorders>
          <w:bottom w:val="single" w:color="FFFFFF" w:themeColor="background1" w:sz="12" w:space="0"/>
        </w:tcBorders>
        <w:shd w:val="clear" w:color="auto" w:fill="4FA58B" w:themeFill="accent3" w:themeFillShade="CC"/>
      </w:tcPr>
    </w:tblStylePr>
    <w:tblStylePr w:type="lastRow">
      <w:rPr>
        <w:b/>
        <w:bCs/>
        <w:color w:val="4FA58B"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2E3" w:themeFill="accent4" w:themeFillTint="3F"/>
      </w:tcPr>
    </w:tblStylePr>
    <w:tblStylePr w:type="band1Horz">
      <w:tblPr/>
      <w:tcPr>
        <w:shd w:val="clear" w:color="auto" w:fill="E4E7E8"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2F6F7" w:themeFill="accent5" w:themeFillTint="19"/>
    </w:tcPr>
    <w:tblStylePr w:type="firstRow">
      <w:rPr>
        <w:b/>
        <w:bCs/>
        <w:color w:val="FFFFFF" w:themeColor="background1"/>
      </w:rPr>
      <w:tblPr/>
      <w:tcPr>
        <w:tcBorders>
          <w:bottom w:val="single" w:color="FFFFFF" w:themeColor="background1" w:sz="12" w:space="0"/>
        </w:tcBorders>
        <w:shd w:val="clear" w:color="auto" w:fill="1E689E" w:themeFill="accent6" w:themeFillShade="CC"/>
      </w:tcPr>
    </w:tblStylePr>
    <w:tblStylePr w:type="lastRow">
      <w:rPr>
        <w:b/>
        <w:bCs/>
        <w:color w:val="1E689E"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AED" w:themeFill="accent5" w:themeFillTint="3F"/>
      </w:tcPr>
    </w:tblStylePr>
    <w:tblStylePr w:type="band1Horz">
      <w:tblPr/>
      <w:tcPr>
        <w:shd w:val="clear" w:color="auto" w:fill="E6EEF0"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8F2FA" w:themeFill="accent6" w:themeFillTint="19"/>
    </w:tcPr>
    <w:tblStylePr w:type="firstRow">
      <w:rPr>
        <w:b/>
        <w:bCs/>
        <w:color w:val="FFFFFF" w:themeColor="background1"/>
      </w:rPr>
      <w:tblPr/>
      <w:tcPr>
        <w:tcBorders>
          <w:bottom w:val="single" w:color="FFFFFF" w:themeColor="background1" w:sz="12" w:space="0"/>
        </w:tcBorders>
        <w:shd w:val="clear" w:color="auto" w:fill="5D909D" w:themeFill="accent5" w:themeFillShade="CC"/>
      </w:tcPr>
    </w:tblStylePr>
    <w:tblStylePr w:type="lastRow">
      <w:rPr>
        <w:b/>
        <w:bCs/>
        <w:color w:val="5D909D"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6" w:themeFillTint="3F"/>
      </w:tcPr>
    </w:tblStylePr>
    <w:tblStylePr w:type="band1Horz">
      <w:tblPr/>
      <w:tcPr>
        <w:shd w:val="clear" w:color="auto" w:fill="D0E6F6"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4EAF3" w:themeFill="accent1" w:themeFillTint="33"/>
    </w:tcPr>
    <w:tblStylePr w:type="firstRow">
      <w:rPr>
        <w:b/>
        <w:bCs/>
      </w:rPr>
      <w:tblPr/>
      <w:tcPr>
        <w:shd w:val="clear" w:color="auto" w:fill="A9D5E7" w:themeFill="accent1" w:themeFillTint="66"/>
      </w:tcPr>
    </w:tblStylePr>
    <w:tblStylePr w:type="lastRow">
      <w:rPr>
        <w:b/>
        <w:bCs/>
        <w:color w:val="000000" w:themeColor="text1"/>
      </w:rPr>
      <w:tblPr/>
      <w:tcPr>
        <w:shd w:val="clear" w:color="auto" w:fill="A9D5E7" w:themeFill="accent1" w:themeFillTint="66"/>
      </w:tcPr>
    </w:tblStylePr>
    <w:tblStylePr w:type="firstCol">
      <w:rPr>
        <w:color w:val="FFFFFF" w:themeColor="background1"/>
      </w:rPr>
      <w:tblPr/>
      <w:tcPr>
        <w:shd w:val="clear" w:color="auto" w:fill="276E8B" w:themeFill="accent1" w:themeFillShade="BF"/>
      </w:tcPr>
    </w:tblStylePr>
    <w:tblStylePr w:type="lastCol">
      <w:rPr>
        <w:color w:val="FFFFFF" w:themeColor="background1"/>
      </w:rPr>
      <w:tblPr/>
      <w:tcPr>
        <w:shd w:val="clear" w:color="auto" w:fill="276E8B" w:themeFill="accent1" w:themeFillShade="BF"/>
      </w:tc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DF0F2" w:themeFill="accent2" w:themeFillTint="33"/>
    </w:tcPr>
    <w:tblStylePr w:type="firstRow">
      <w:rPr>
        <w:b/>
        <w:bCs/>
      </w:rPr>
      <w:tblPr/>
      <w:tcPr>
        <w:shd w:val="clear" w:color="auto" w:fill="BCE1E5" w:themeFill="accent2" w:themeFillTint="66"/>
      </w:tcPr>
    </w:tblStylePr>
    <w:tblStylePr w:type="lastRow">
      <w:rPr>
        <w:b/>
        <w:bCs/>
        <w:color w:val="000000" w:themeColor="text1"/>
      </w:rPr>
      <w:tblPr/>
      <w:tcPr>
        <w:shd w:val="clear" w:color="auto" w:fill="BCE1E5" w:themeFill="accent2" w:themeFillTint="66"/>
      </w:tcPr>
    </w:tblStylePr>
    <w:tblStylePr w:type="firstCol">
      <w:rPr>
        <w:color w:val="FFFFFF" w:themeColor="background1"/>
      </w:rPr>
      <w:tblPr/>
      <w:tcPr>
        <w:shd w:val="clear" w:color="auto" w:fill="398E98" w:themeFill="accent2" w:themeFillShade="BF"/>
      </w:tcPr>
    </w:tblStylePr>
    <w:tblStylePr w:type="lastCol">
      <w:rPr>
        <w:color w:val="FFFFFF" w:themeColor="background1"/>
      </w:rPr>
      <w:tblPr/>
      <w:tcPr>
        <w:shd w:val="clear" w:color="auto" w:fill="398E98" w:themeFill="accent2" w:themeFillShade="BF"/>
      </w:tc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3F1ED" w:themeFill="accent3" w:themeFillTint="33"/>
    </w:tcPr>
    <w:tblStylePr w:type="firstRow">
      <w:rPr>
        <w:b/>
        <w:bCs/>
      </w:rPr>
      <w:tblPr/>
      <w:tcPr>
        <w:shd w:val="clear" w:color="auto" w:fill="C7E4DB" w:themeFill="accent3" w:themeFillTint="66"/>
      </w:tcPr>
    </w:tblStylePr>
    <w:tblStylePr w:type="lastRow">
      <w:rPr>
        <w:b/>
        <w:bCs/>
        <w:color w:val="000000" w:themeColor="text1"/>
      </w:rPr>
      <w:tblPr/>
      <w:tcPr>
        <w:shd w:val="clear" w:color="auto" w:fill="C7E4DB" w:themeFill="accent3" w:themeFillTint="66"/>
      </w:tcPr>
    </w:tblStylePr>
    <w:tblStylePr w:type="firstCol">
      <w:rPr>
        <w:color w:val="FFFFFF" w:themeColor="background1"/>
      </w:rPr>
      <w:tblPr/>
      <w:tcPr>
        <w:shd w:val="clear" w:color="auto" w:fill="4A9A82" w:themeFill="accent3" w:themeFillShade="BF"/>
      </w:tcPr>
    </w:tblStylePr>
    <w:tblStylePr w:type="lastCol">
      <w:rPr>
        <w:color w:val="FFFFFF" w:themeColor="background1"/>
      </w:rPr>
      <w:tblPr/>
      <w:tcPr>
        <w:shd w:val="clear" w:color="auto" w:fill="4A9A82" w:themeFill="accent3" w:themeFillShade="BF"/>
      </w:tc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4E7E8" w:themeFill="accent4" w:themeFillTint="33"/>
    </w:tcPr>
    <w:tblStylePr w:type="firstRow">
      <w:rPr>
        <w:b/>
        <w:bCs/>
      </w:rPr>
      <w:tblPr/>
      <w:tcPr>
        <w:shd w:val="clear" w:color="auto" w:fill="C9D0D1" w:themeFill="accent4" w:themeFillTint="66"/>
      </w:tcPr>
    </w:tblStylePr>
    <w:tblStylePr w:type="lastRow">
      <w:rPr>
        <w:b/>
        <w:bCs/>
        <w:color w:val="000000" w:themeColor="text1"/>
      </w:rPr>
      <w:tblPr/>
      <w:tcPr>
        <w:shd w:val="clear" w:color="auto" w:fill="C9D0D1" w:themeFill="accent4" w:themeFillTint="66"/>
      </w:tcPr>
    </w:tblStylePr>
    <w:tblStylePr w:type="firstCol">
      <w:rPr>
        <w:color w:val="FFFFFF" w:themeColor="background1"/>
      </w:rPr>
      <w:tblPr/>
      <w:tcPr>
        <w:shd w:val="clear" w:color="auto" w:fill="5A696A" w:themeFill="accent4" w:themeFillShade="BF"/>
      </w:tcPr>
    </w:tblStylePr>
    <w:tblStylePr w:type="lastCol">
      <w:rPr>
        <w:color w:val="FFFFFF" w:themeColor="background1"/>
      </w:rPr>
      <w:tblPr/>
      <w:tcPr>
        <w:shd w:val="clear" w:color="auto" w:fill="5A696A" w:themeFill="accent4" w:themeFillShade="BF"/>
      </w:tc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6EEF0" w:themeFill="accent5" w:themeFillTint="33"/>
    </w:tcPr>
    <w:tblStylePr w:type="firstRow">
      <w:rPr>
        <w:b/>
        <w:bCs/>
      </w:rPr>
      <w:tblPr/>
      <w:tcPr>
        <w:shd w:val="clear" w:color="auto" w:fill="CDDDE1" w:themeFill="accent5" w:themeFillTint="66"/>
      </w:tcPr>
    </w:tblStylePr>
    <w:tblStylePr w:type="lastRow">
      <w:rPr>
        <w:b/>
        <w:bCs/>
        <w:color w:val="000000" w:themeColor="text1"/>
      </w:rPr>
      <w:tblPr/>
      <w:tcPr>
        <w:shd w:val="clear" w:color="auto" w:fill="CDDDE1" w:themeFill="accent5" w:themeFillTint="66"/>
      </w:tcPr>
    </w:tblStylePr>
    <w:tblStylePr w:type="firstCol">
      <w:rPr>
        <w:color w:val="FFFFFF" w:themeColor="background1"/>
      </w:rPr>
      <w:tblPr/>
      <w:tcPr>
        <w:shd w:val="clear" w:color="auto" w:fill="578793" w:themeFill="accent5" w:themeFillShade="BF"/>
      </w:tcPr>
    </w:tblStylePr>
    <w:tblStylePr w:type="lastCol">
      <w:rPr>
        <w:color w:val="FFFFFF" w:themeColor="background1"/>
      </w:rPr>
      <w:tblPr/>
      <w:tcPr>
        <w:shd w:val="clear" w:color="auto" w:fill="578793" w:themeFill="accent5" w:themeFillShade="BF"/>
      </w:tc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0E6F6" w:themeFill="accent6" w:themeFillTint="33"/>
    </w:tcPr>
    <w:tblStylePr w:type="firstRow">
      <w:rPr>
        <w:b/>
        <w:bCs/>
      </w:rPr>
      <w:tblPr/>
      <w:tcPr>
        <w:shd w:val="clear" w:color="auto" w:fill="A3CEED" w:themeFill="accent6" w:themeFillTint="66"/>
      </w:tcPr>
    </w:tblStylePr>
    <w:tblStylePr w:type="lastRow">
      <w:rPr>
        <w:b/>
        <w:bCs/>
        <w:color w:val="000000" w:themeColor="text1"/>
      </w:rPr>
      <w:tblPr/>
      <w:tcPr>
        <w:shd w:val="clear" w:color="auto" w:fill="A3CEED" w:themeFill="accent6" w:themeFillTint="66"/>
      </w:tcPr>
    </w:tblStylePr>
    <w:tblStylePr w:type="firstCol">
      <w:rPr>
        <w:color w:val="FFFFFF" w:themeColor="background1"/>
      </w:rPr>
      <w:tblPr/>
      <w:tcPr>
        <w:shd w:val="clear" w:color="auto" w:fill="1C6194" w:themeFill="accent6" w:themeFillShade="BF"/>
      </w:tcPr>
    </w:tblStylePr>
    <w:tblStylePr w:type="lastCol">
      <w:rPr>
        <w:color w:val="FFFFFF" w:themeColor="background1"/>
      </w:rPr>
      <w:tblPr/>
      <w:tcPr>
        <w:shd w:val="clear" w:color="auto" w:fill="1C6194" w:themeFill="accent6" w:themeFillShade="BF"/>
      </w:tc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character" w:styleId="CommentReference">
    <w:name w:val="annotation reference"/>
    <w:basedOn w:val="DefaultParagraphFont"/>
    <w:uiPriority w:val="99"/>
    <w:semiHidden/>
    <w:unhideWhenUsed/>
    <w:rsid w:val="00700C31"/>
    <w:rPr>
      <w:sz w:val="16"/>
      <w:szCs w:val="16"/>
    </w:rPr>
  </w:style>
  <w:style w:type="paragraph" w:styleId="CommentText">
    <w:name w:val="annotation text"/>
    <w:basedOn w:val="Normal"/>
    <w:link w:val="CommentTextChar"/>
    <w:uiPriority w:val="99"/>
    <w:unhideWhenUsed/>
    <w:rsid w:val="00700C31"/>
    <w:pPr>
      <w:spacing w:line="240" w:lineRule="auto"/>
    </w:pPr>
    <w:rPr>
      <w:sz w:val="20"/>
      <w:szCs w:val="20"/>
    </w:rPr>
  </w:style>
  <w:style w:type="character" w:styleId="CommentTextChar" w:customStyle="1">
    <w:name w:val="Comment Text Char"/>
    <w:basedOn w:val="DefaultParagraphFont"/>
    <w:link w:val="CommentText"/>
    <w:uiPriority w:val="99"/>
    <w:rsid w:val="00700C31"/>
    <w:rPr>
      <w:rFonts w:ascii="Arial" w:hAnsi="Arial" w:eastAsia="Arial"/>
      <w:sz w:val="20"/>
      <w:szCs w:val="20"/>
    </w:rPr>
  </w:style>
  <w:style w:type="paragraph" w:styleId="CommentSubject">
    <w:name w:val="annotation subject"/>
    <w:basedOn w:val="CommentText"/>
    <w:next w:val="CommentText"/>
    <w:link w:val="CommentSubjectChar"/>
    <w:uiPriority w:val="99"/>
    <w:semiHidden/>
    <w:unhideWhenUsed/>
    <w:rsid w:val="00700C31"/>
    <w:rPr>
      <w:b/>
      <w:bCs/>
    </w:rPr>
  </w:style>
  <w:style w:type="character" w:styleId="CommentSubjectChar" w:customStyle="1">
    <w:name w:val="Comment Subject Char"/>
    <w:basedOn w:val="CommentTextChar"/>
    <w:link w:val="CommentSubject"/>
    <w:uiPriority w:val="99"/>
    <w:semiHidden/>
    <w:rsid w:val="00700C31"/>
    <w:rPr>
      <w:rFonts w:ascii="Arial" w:hAnsi="Arial" w:eastAsia="Arial"/>
      <w:b/>
      <w:bCs/>
      <w:sz w:val="20"/>
      <w:szCs w:val="20"/>
    </w:rPr>
  </w:style>
  <w:style w:type="character" w:styleId="Hyperlink">
    <w:name w:val="Hyperlink"/>
    <w:basedOn w:val="DefaultParagraphFont"/>
    <w:uiPriority w:val="99"/>
    <w:unhideWhenUsed/>
    <w:rsid w:val="004C1DBC"/>
    <w:rPr>
      <w:color w:val="6B9F25" w:themeColor="hyperlink"/>
      <w:u w:val="single"/>
    </w:rPr>
  </w:style>
  <w:style w:type="character" w:styleId="UnresolvedMention">
    <w:name w:val="Unresolved Mention"/>
    <w:basedOn w:val="DefaultParagraphFont"/>
    <w:uiPriority w:val="99"/>
    <w:semiHidden/>
    <w:unhideWhenUsed/>
    <w:rsid w:val="004C1DBC"/>
    <w:rPr>
      <w:color w:val="605E5C"/>
      <w:shd w:val="clear" w:color="auto" w:fill="E1DFDD"/>
    </w:rPr>
  </w:style>
  <w:style w:type="character" w:styleId="FollowedHyperlink">
    <w:name w:val="FollowedHyperlink"/>
    <w:basedOn w:val="DefaultParagraphFont"/>
    <w:uiPriority w:val="99"/>
    <w:semiHidden/>
    <w:unhideWhenUsed/>
    <w:rsid w:val="00CA734B"/>
    <w:rPr>
      <w:color w:val="9F6715" w:themeColor="followedHyperlink"/>
      <w:u w:val="single"/>
    </w:rPr>
  </w:style>
  <w:style w:type="table" w:styleId="TableGrid1" w:customStyle="1">
    <w:name w:val="Table Grid1"/>
    <w:basedOn w:val="TableNormal"/>
    <w:next w:val="TableGrid"/>
    <w:uiPriority w:val="59"/>
    <w:rsid w:val="00B23C85"/>
    <w:pPr>
      <w:spacing w:after="0" w:line="240" w:lineRule="auto"/>
    </w:pPr>
    <w:rPr>
      <w:rFonts w:eastAsia="Calibri"/>
      <w:lang w:val="en-GB"/>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Policytitle" w:customStyle="true">
    <w:uiPriority w:val="1"/>
    <w:name w:val="3 Policy title"/>
    <w:basedOn w:val="Normal"/>
    <w:qFormat/>
    <w:rsid w:val="37D35C3F"/>
    <w:rPr>
      <w:rFonts w:eastAsia="MS Mincho" w:cs="Times New Roman" w:asciiTheme="minorAscii" w:hAnsiTheme="minorAscii" w:eastAsiaTheme="minorAscii" w:cstheme="minorBidi"/>
      <w:b w:val="1"/>
      <w:bCs w:val="1"/>
      <w:color w:val="auto"/>
      <w:sz w:val="72"/>
      <w:szCs w:val="72"/>
      <w:lang w:val="en-US"/>
    </w:rPr>
    <w:pPr>
      <w:spacing w:before="0" w:after="120"/>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eader" Target="header3.xml" Id="rId15" /><Relationship Type="http://schemas.openxmlformats.org/officeDocument/2006/relationships/settings" Target="settings.xml" Id="rId4" /><Relationship Type="http://schemas.openxmlformats.org/officeDocument/2006/relationships/image" Target="/media/image2.png" Id="rId717531784" /><Relationship Type="http://schemas.openxmlformats.org/officeDocument/2006/relationships/image" Target="/media/image3.png" Id="rId2141268811" /><Relationship Type="http://schemas.openxmlformats.org/officeDocument/2006/relationships/hyperlink" Target="https://view.officeapps.live.com/op/view.aspx?src=https%3A%2F%2Fassets.publishing.service.gov.uk%2Fmedia%2F5a75090f40f0b6360e472d23%2FSupporting_pupils_with_medical_conditions_-_templates.docx&amp;wdOrigin=BROWSELINK" TargetMode="External" Id="Rec5bec7d7c62429e" /><Relationship Type="http://schemas.openxmlformats.org/officeDocument/2006/relationships/footer" Target="footer4.xml" Id="Rb5f526a4334142b1" /><Relationship Type="http://schemas.openxmlformats.org/officeDocument/2006/relationships/footer" Target="footer5.xml" Id="Ra2203ac52e35437b" /></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Gary Booth (Corporate Services and Transformation)</dc:creator>
  <keywords/>
  <dc:description>generated by python-docx</dc:description>
  <lastModifiedBy>Olivia Anthony</lastModifiedBy>
  <revision>6</revision>
  <dcterms:created xsi:type="dcterms:W3CDTF">2026-08-20T10:12:00.0000000Z</dcterms:created>
  <dcterms:modified xsi:type="dcterms:W3CDTF">2026-08-20T13:36:07.6454953Z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3d341e5c,62a9ee21,47023bb8</vt:lpwstr>
  </property>
  <property fmtid="{D5CDD505-2E9C-101B-9397-08002B2CF9AE}" pid="3" name="ClassificationContentMarkingFooterFontProps">
    <vt:lpwstr>#000000,10,Aptos</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2026-06-30T11:21:49Z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f60ccff9-ea65-44a5-934e-6fa4c22b9022</vt:lpwstr>
  </property>
  <property fmtid="{D5CDD505-2E9C-101B-9397-08002B2CF9AE}" pid="11" name="MSIP_Label_768904da-5dbb-4716-9521-7a682c6e8720_ContentBits">
    <vt:lpwstr>2</vt:lpwstr>
  </property>
  <property fmtid="{D5CDD505-2E9C-101B-9397-08002B2CF9AE}" pid="12" name="MSIP_Label_768904da-5dbb-4716-9521-7a682c6e8720_Tag">
    <vt:lpwstr>10, 3, 0, 2</vt:lpwstr>
  </property>
</Properties>
</file>