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4B616" w14:textId="77777777" w:rsidR="005B3427" w:rsidRDefault="005B3427">
      <w:r>
        <w:t>Streamlined Energy and Carbon Reporting</w:t>
      </w:r>
    </w:p>
    <w:tbl>
      <w:tblPr>
        <w:tblStyle w:val="TableGrid"/>
        <w:tblW w:w="9776" w:type="dxa"/>
        <w:tblLook w:val="04A0" w:firstRow="1" w:lastRow="0" w:firstColumn="1" w:lastColumn="0" w:noHBand="0" w:noVBand="1"/>
      </w:tblPr>
      <w:tblGrid>
        <w:gridCol w:w="1802"/>
        <w:gridCol w:w="1725"/>
        <w:gridCol w:w="3131"/>
        <w:gridCol w:w="3118"/>
      </w:tblGrid>
      <w:tr w:rsidR="00B25467" w14:paraId="41B2E3EF" w14:textId="77777777" w:rsidTr="009371A8">
        <w:tc>
          <w:tcPr>
            <w:tcW w:w="3527" w:type="dxa"/>
            <w:gridSpan w:val="2"/>
          </w:tcPr>
          <w:p w14:paraId="112A50DF" w14:textId="77777777" w:rsidR="00B25467" w:rsidRDefault="00B25467" w:rsidP="003B22CA">
            <w:r>
              <w:t xml:space="preserve">UK Greenhouse gas emissions and energy use data for the period </w:t>
            </w:r>
          </w:p>
        </w:tc>
        <w:tc>
          <w:tcPr>
            <w:tcW w:w="3131" w:type="dxa"/>
          </w:tcPr>
          <w:p w14:paraId="167EB924" w14:textId="406C4F27" w:rsidR="00B25467" w:rsidRDefault="00B25467" w:rsidP="003B22CA">
            <w:r>
              <w:t>1</w:t>
            </w:r>
            <w:r w:rsidRPr="003B22CA">
              <w:rPr>
                <w:vertAlign w:val="superscript"/>
              </w:rPr>
              <w:t>st</w:t>
            </w:r>
            <w:r>
              <w:t xml:space="preserve"> September 2024 to 31</w:t>
            </w:r>
            <w:r w:rsidRPr="003B22CA">
              <w:rPr>
                <w:vertAlign w:val="superscript"/>
              </w:rPr>
              <w:t>st</w:t>
            </w:r>
            <w:r>
              <w:t xml:space="preserve"> August 2025</w:t>
            </w:r>
          </w:p>
        </w:tc>
        <w:tc>
          <w:tcPr>
            <w:tcW w:w="3118" w:type="dxa"/>
          </w:tcPr>
          <w:p w14:paraId="3CE1E8F5" w14:textId="1CA46EEF" w:rsidR="00B25467" w:rsidRDefault="00B25467" w:rsidP="003B22CA">
            <w:r>
              <w:t>1</w:t>
            </w:r>
            <w:r w:rsidRPr="003B22CA">
              <w:rPr>
                <w:vertAlign w:val="superscript"/>
              </w:rPr>
              <w:t>st</w:t>
            </w:r>
            <w:r>
              <w:t xml:space="preserve"> September 2023 to 31</w:t>
            </w:r>
            <w:r w:rsidRPr="003B22CA">
              <w:rPr>
                <w:vertAlign w:val="superscript"/>
              </w:rPr>
              <w:t>st</w:t>
            </w:r>
            <w:r>
              <w:t xml:space="preserve"> August 2024</w:t>
            </w:r>
          </w:p>
        </w:tc>
      </w:tr>
      <w:tr w:rsidR="00B25467" w14:paraId="5492C1A7" w14:textId="77777777" w:rsidTr="009371A8">
        <w:tc>
          <w:tcPr>
            <w:tcW w:w="3527" w:type="dxa"/>
            <w:gridSpan w:val="2"/>
          </w:tcPr>
          <w:p w14:paraId="06DF1501" w14:textId="77777777" w:rsidR="00B25467" w:rsidRDefault="00B25467" w:rsidP="000217F3">
            <w:r>
              <w:t>Energy consumption used to calculate emissions (kWh)</w:t>
            </w:r>
          </w:p>
        </w:tc>
        <w:tc>
          <w:tcPr>
            <w:tcW w:w="3131" w:type="dxa"/>
          </w:tcPr>
          <w:p w14:paraId="641B9907" w14:textId="5117C937" w:rsidR="00B25467" w:rsidRDefault="00B25467" w:rsidP="000217F3">
            <w:pPr>
              <w:jc w:val="center"/>
              <w:rPr>
                <w:b/>
              </w:rPr>
            </w:pPr>
            <w:r>
              <w:rPr>
                <w:b/>
              </w:rPr>
              <w:t>7427620</w:t>
            </w:r>
          </w:p>
        </w:tc>
        <w:tc>
          <w:tcPr>
            <w:tcW w:w="3118" w:type="dxa"/>
          </w:tcPr>
          <w:p w14:paraId="1A3A95D5" w14:textId="24072904" w:rsidR="00B25467" w:rsidRPr="000217F3" w:rsidRDefault="00B25467" w:rsidP="000217F3">
            <w:pPr>
              <w:jc w:val="center"/>
              <w:rPr>
                <w:b/>
                <w:bCs/>
              </w:rPr>
            </w:pPr>
            <w:r>
              <w:rPr>
                <w:b/>
              </w:rPr>
              <w:t>6896155</w:t>
            </w:r>
          </w:p>
        </w:tc>
      </w:tr>
      <w:tr w:rsidR="00B25467" w14:paraId="7CC934F4" w14:textId="77777777" w:rsidTr="009371A8">
        <w:tc>
          <w:tcPr>
            <w:tcW w:w="3527" w:type="dxa"/>
            <w:gridSpan w:val="2"/>
          </w:tcPr>
          <w:p w14:paraId="1D1C0321" w14:textId="77777777" w:rsidR="00B25467" w:rsidRDefault="00B25467" w:rsidP="000217F3">
            <w:r>
              <w:t xml:space="preserve">Energy consumption break down (kWh) (optional) </w:t>
            </w:r>
          </w:p>
          <w:p w14:paraId="56B0CC33" w14:textId="77777777" w:rsidR="00B25467" w:rsidRDefault="00B25467" w:rsidP="000217F3">
            <w:r>
              <w:t xml:space="preserve">• gas, </w:t>
            </w:r>
          </w:p>
          <w:p w14:paraId="579697BE" w14:textId="77777777" w:rsidR="00B25467" w:rsidRDefault="00B25467" w:rsidP="000217F3">
            <w:r>
              <w:t>• electricity</w:t>
            </w:r>
          </w:p>
          <w:p w14:paraId="47483E59" w14:textId="77777777" w:rsidR="00B25467" w:rsidRDefault="00B25467" w:rsidP="000217F3">
            <w:r>
              <w:t xml:space="preserve"> • transport fuel</w:t>
            </w:r>
          </w:p>
        </w:tc>
        <w:tc>
          <w:tcPr>
            <w:tcW w:w="3131" w:type="dxa"/>
          </w:tcPr>
          <w:p w14:paraId="05383783" w14:textId="77777777" w:rsidR="00B25467" w:rsidRDefault="00B25467" w:rsidP="00871AFB">
            <w:pPr>
              <w:jc w:val="center"/>
              <w:rPr>
                <w:b/>
              </w:rPr>
            </w:pPr>
          </w:p>
          <w:p w14:paraId="2B066554" w14:textId="2099A1CE" w:rsidR="00B25467" w:rsidRPr="005B3427" w:rsidRDefault="00B25467" w:rsidP="00871AFB">
            <w:pPr>
              <w:jc w:val="center"/>
              <w:rPr>
                <w:b/>
              </w:rPr>
            </w:pPr>
            <w:r>
              <w:rPr>
                <w:b/>
              </w:rPr>
              <w:t>Gas: 5304393</w:t>
            </w:r>
          </w:p>
          <w:p w14:paraId="2F6A1392" w14:textId="42494E91" w:rsidR="00B25467" w:rsidRPr="005B3427" w:rsidRDefault="00B25467" w:rsidP="00871AFB">
            <w:pPr>
              <w:jc w:val="center"/>
              <w:rPr>
                <w:b/>
              </w:rPr>
            </w:pPr>
            <w:r w:rsidRPr="005B3427">
              <w:rPr>
                <w:b/>
              </w:rPr>
              <w:t xml:space="preserve">Electricity: </w:t>
            </w:r>
            <w:r>
              <w:rPr>
                <w:b/>
              </w:rPr>
              <w:t>2123227</w:t>
            </w:r>
          </w:p>
          <w:p w14:paraId="28558B48" w14:textId="05AB99A9" w:rsidR="00B25467" w:rsidRDefault="00B25467" w:rsidP="00871AFB">
            <w:pPr>
              <w:jc w:val="center"/>
              <w:rPr>
                <w:b/>
              </w:rPr>
            </w:pPr>
            <w:r w:rsidRPr="005B3427">
              <w:rPr>
                <w:b/>
              </w:rPr>
              <w:t>Transport:</w:t>
            </w:r>
            <w:r>
              <w:rPr>
                <w:b/>
              </w:rPr>
              <w:t>98802</w:t>
            </w:r>
          </w:p>
        </w:tc>
        <w:tc>
          <w:tcPr>
            <w:tcW w:w="3118" w:type="dxa"/>
          </w:tcPr>
          <w:p w14:paraId="184879F0" w14:textId="77777777" w:rsidR="00B25467" w:rsidRDefault="00B25467" w:rsidP="000217F3">
            <w:pPr>
              <w:jc w:val="center"/>
              <w:rPr>
                <w:b/>
              </w:rPr>
            </w:pPr>
          </w:p>
          <w:p w14:paraId="2F7AA25D" w14:textId="77777777" w:rsidR="00B25467" w:rsidRPr="005B3427" w:rsidRDefault="00B25467" w:rsidP="000217F3">
            <w:pPr>
              <w:jc w:val="center"/>
              <w:rPr>
                <w:b/>
              </w:rPr>
            </w:pPr>
            <w:r>
              <w:rPr>
                <w:b/>
              </w:rPr>
              <w:t>Gas: 5240223</w:t>
            </w:r>
          </w:p>
          <w:p w14:paraId="0EB389C7" w14:textId="77777777" w:rsidR="00B25467" w:rsidRPr="005B3427" w:rsidRDefault="00B25467" w:rsidP="000217F3">
            <w:pPr>
              <w:jc w:val="center"/>
              <w:rPr>
                <w:b/>
              </w:rPr>
            </w:pPr>
            <w:r w:rsidRPr="005B3427">
              <w:rPr>
                <w:b/>
              </w:rPr>
              <w:t xml:space="preserve">Electricity: </w:t>
            </w:r>
            <w:r>
              <w:rPr>
                <w:b/>
              </w:rPr>
              <w:t>1655932</w:t>
            </w:r>
          </w:p>
          <w:p w14:paraId="5DF43605" w14:textId="628C57C5" w:rsidR="00B25467" w:rsidRDefault="00B25467" w:rsidP="000217F3">
            <w:pPr>
              <w:jc w:val="center"/>
            </w:pPr>
            <w:r w:rsidRPr="005B3427">
              <w:rPr>
                <w:b/>
              </w:rPr>
              <w:t xml:space="preserve">Transport: </w:t>
            </w:r>
            <w:r>
              <w:rPr>
                <w:b/>
              </w:rPr>
              <w:t>12732</w:t>
            </w:r>
          </w:p>
        </w:tc>
      </w:tr>
      <w:tr w:rsidR="00B25467" w14:paraId="7CEB134E" w14:textId="77777777" w:rsidTr="009371A8">
        <w:tc>
          <w:tcPr>
            <w:tcW w:w="3527" w:type="dxa"/>
            <w:gridSpan w:val="2"/>
          </w:tcPr>
          <w:p w14:paraId="4669C95B" w14:textId="77777777" w:rsidR="00B25467" w:rsidRDefault="00B25467" w:rsidP="000217F3">
            <w:r>
              <w:t xml:space="preserve">Scope 1 emissions in metric tonnes CO2e </w:t>
            </w:r>
          </w:p>
          <w:p w14:paraId="4E017E5C" w14:textId="0DCB2C29" w:rsidR="00B25467" w:rsidRDefault="00B25467" w:rsidP="000217F3">
            <w:r>
              <w:t>Gas consumption Owned transport – mini-buses Total scope 1</w:t>
            </w:r>
          </w:p>
        </w:tc>
        <w:tc>
          <w:tcPr>
            <w:tcW w:w="3131" w:type="dxa"/>
          </w:tcPr>
          <w:p w14:paraId="6875A177" w14:textId="77777777" w:rsidR="00B25467" w:rsidRDefault="00B25467" w:rsidP="000217F3">
            <w:pPr>
              <w:jc w:val="center"/>
              <w:rPr>
                <w:b/>
              </w:rPr>
            </w:pPr>
          </w:p>
          <w:p w14:paraId="41CA697E" w14:textId="77777777" w:rsidR="00B25467" w:rsidRDefault="00B25467" w:rsidP="000217F3">
            <w:pPr>
              <w:jc w:val="center"/>
              <w:rPr>
                <w:b/>
              </w:rPr>
            </w:pPr>
            <w:r>
              <w:rPr>
                <w:b/>
              </w:rPr>
              <w:t>970.492 tC02e</w:t>
            </w:r>
          </w:p>
          <w:p w14:paraId="183B0B97" w14:textId="77777777" w:rsidR="00B25467" w:rsidRDefault="00B25467" w:rsidP="000217F3">
            <w:pPr>
              <w:jc w:val="center"/>
              <w:rPr>
                <w:b/>
              </w:rPr>
            </w:pPr>
          </w:p>
          <w:p w14:paraId="0301288F" w14:textId="4422E7D6" w:rsidR="00B25467" w:rsidRDefault="00B25467" w:rsidP="002072A9">
            <w:pPr>
              <w:rPr>
                <w:b/>
              </w:rPr>
            </w:pPr>
          </w:p>
        </w:tc>
        <w:tc>
          <w:tcPr>
            <w:tcW w:w="3118" w:type="dxa"/>
          </w:tcPr>
          <w:p w14:paraId="54B89B72" w14:textId="77777777" w:rsidR="00B25467" w:rsidRDefault="00B25467" w:rsidP="000217F3">
            <w:pPr>
              <w:jc w:val="center"/>
              <w:rPr>
                <w:b/>
              </w:rPr>
            </w:pPr>
          </w:p>
          <w:p w14:paraId="6CEDE159" w14:textId="6542FB37" w:rsidR="00B25467" w:rsidRDefault="00B25467" w:rsidP="000217F3">
            <w:pPr>
              <w:jc w:val="center"/>
            </w:pPr>
            <w:r>
              <w:rPr>
                <w:b/>
              </w:rPr>
              <w:t>958.436 tCO2e</w:t>
            </w:r>
          </w:p>
        </w:tc>
      </w:tr>
      <w:tr w:rsidR="00B25467" w14:paraId="5F92EE0F" w14:textId="77777777" w:rsidTr="009371A8">
        <w:tc>
          <w:tcPr>
            <w:tcW w:w="3527" w:type="dxa"/>
            <w:gridSpan w:val="2"/>
          </w:tcPr>
          <w:p w14:paraId="6150A0D4" w14:textId="77777777" w:rsidR="00B25467" w:rsidRDefault="00B25467" w:rsidP="000217F3">
            <w:r>
              <w:t>Scope 2 emissions in metric tonnes CO2e Purchased electricity</w:t>
            </w:r>
          </w:p>
        </w:tc>
        <w:tc>
          <w:tcPr>
            <w:tcW w:w="3131" w:type="dxa"/>
          </w:tcPr>
          <w:p w14:paraId="21B92F40" w14:textId="77777777" w:rsidR="00B25467" w:rsidRDefault="00B25467" w:rsidP="000217F3">
            <w:pPr>
              <w:jc w:val="center"/>
              <w:rPr>
                <w:b/>
              </w:rPr>
            </w:pPr>
          </w:p>
          <w:p w14:paraId="33DD7CD1" w14:textId="77C02786" w:rsidR="00B25467" w:rsidRDefault="00B25467" w:rsidP="000217F3">
            <w:pPr>
              <w:jc w:val="center"/>
              <w:rPr>
                <w:b/>
              </w:rPr>
            </w:pPr>
            <w:r>
              <w:rPr>
                <w:b/>
              </w:rPr>
              <w:t>375.811 tC02e</w:t>
            </w:r>
          </w:p>
        </w:tc>
        <w:tc>
          <w:tcPr>
            <w:tcW w:w="3118" w:type="dxa"/>
          </w:tcPr>
          <w:p w14:paraId="21379FD1" w14:textId="77777777" w:rsidR="00B25467" w:rsidRDefault="00B25467" w:rsidP="000217F3">
            <w:pPr>
              <w:jc w:val="center"/>
              <w:rPr>
                <w:b/>
              </w:rPr>
            </w:pPr>
          </w:p>
          <w:p w14:paraId="191F447B" w14:textId="68B40EEA" w:rsidR="00B25467" w:rsidRDefault="00B25467" w:rsidP="000217F3">
            <w:pPr>
              <w:jc w:val="center"/>
            </w:pPr>
            <w:r>
              <w:rPr>
                <w:b/>
              </w:rPr>
              <w:t>342.861 tC02e</w:t>
            </w:r>
          </w:p>
        </w:tc>
      </w:tr>
      <w:tr w:rsidR="00B25467" w14:paraId="2F6C03E2" w14:textId="77777777" w:rsidTr="009371A8">
        <w:tc>
          <w:tcPr>
            <w:tcW w:w="3527" w:type="dxa"/>
            <w:gridSpan w:val="2"/>
          </w:tcPr>
          <w:p w14:paraId="22C3AB50" w14:textId="77777777" w:rsidR="00B25467" w:rsidRDefault="00B25467" w:rsidP="000217F3">
            <w:r>
              <w:t>Scope 3 emissions in metric tonnes CO2e Business travel in employee-owned vehicles</w:t>
            </w:r>
          </w:p>
        </w:tc>
        <w:tc>
          <w:tcPr>
            <w:tcW w:w="3131" w:type="dxa"/>
          </w:tcPr>
          <w:p w14:paraId="07029B77" w14:textId="77777777" w:rsidR="00B25467" w:rsidRDefault="00B25467" w:rsidP="000217F3">
            <w:pPr>
              <w:jc w:val="center"/>
            </w:pPr>
          </w:p>
          <w:p w14:paraId="2F8A4D15" w14:textId="0F3E496A" w:rsidR="00B25467" w:rsidRPr="00AB00F9" w:rsidRDefault="00B25467" w:rsidP="000217F3">
            <w:pPr>
              <w:jc w:val="center"/>
              <w:rPr>
                <w:b/>
                <w:bCs/>
              </w:rPr>
            </w:pPr>
            <w:r w:rsidRPr="00AB00F9">
              <w:rPr>
                <w:b/>
                <w:bCs/>
              </w:rPr>
              <w:t>30.625 tC02e</w:t>
            </w:r>
          </w:p>
        </w:tc>
        <w:tc>
          <w:tcPr>
            <w:tcW w:w="3118" w:type="dxa"/>
          </w:tcPr>
          <w:p w14:paraId="02112E16" w14:textId="77777777" w:rsidR="00B25467" w:rsidRDefault="00B25467" w:rsidP="000217F3">
            <w:pPr>
              <w:jc w:val="center"/>
            </w:pPr>
          </w:p>
          <w:p w14:paraId="773E6315" w14:textId="0CFD34D7" w:rsidR="00B25467" w:rsidRPr="009A279C" w:rsidRDefault="00B25467" w:rsidP="000217F3">
            <w:pPr>
              <w:jc w:val="center"/>
              <w:rPr>
                <w:b/>
                <w:bCs/>
              </w:rPr>
            </w:pPr>
            <w:r w:rsidRPr="009A279C">
              <w:rPr>
                <w:b/>
                <w:bCs/>
              </w:rPr>
              <w:t>3.370 tCO2e</w:t>
            </w:r>
          </w:p>
        </w:tc>
      </w:tr>
      <w:tr w:rsidR="00B25467" w14:paraId="37A1B917" w14:textId="77777777" w:rsidTr="009371A8">
        <w:tc>
          <w:tcPr>
            <w:tcW w:w="3527" w:type="dxa"/>
            <w:gridSpan w:val="2"/>
          </w:tcPr>
          <w:p w14:paraId="5DDDB444" w14:textId="77777777" w:rsidR="00B25467" w:rsidRDefault="00B25467" w:rsidP="000217F3">
            <w:r>
              <w:t>Total gross emissions in metric tonnes CO2e</w:t>
            </w:r>
          </w:p>
        </w:tc>
        <w:tc>
          <w:tcPr>
            <w:tcW w:w="3131" w:type="dxa"/>
          </w:tcPr>
          <w:p w14:paraId="1C2336DF" w14:textId="77777777" w:rsidR="00B25467" w:rsidRDefault="00B25467" w:rsidP="000217F3"/>
          <w:p w14:paraId="500B38C8" w14:textId="3E2436FE" w:rsidR="00B25467" w:rsidRPr="004C225B" w:rsidRDefault="00B25467" w:rsidP="000217F3">
            <w:pPr>
              <w:rPr>
                <w:b/>
                <w:bCs/>
              </w:rPr>
            </w:pPr>
            <w:r w:rsidRPr="004C225B">
              <w:rPr>
                <w:b/>
                <w:bCs/>
              </w:rPr>
              <w:t>1376.92</w:t>
            </w:r>
            <w:r>
              <w:rPr>
                <w:b/>
                <w:bCs/>
              </w:rPr>
              <w:t>8</w:t>
            </w:r>
            <w:r w:rsidRPr="004C225B">
              <w:rPr>
                <w:b/>
                <w:bCs/>
              </w:rPr>
              <w:t xml:space="preserve"> tC02e</w:t>
            </w:r>
          </w:p>
        </w:tc>
        <w:tc>
          <w:tcPr>
            <w:tcW w:w="3118" w:type="dxa"/>
          </w:tcPr>
          <w:p w14:paraId="394C1956" w14:textId="77777777" w:rsidR="00B25467" w:rsidRDefault="00B25467" w:rsidP="000217F3"/>
          <w:p w14:paraId="3774CF29" w14:textId="77777777" w:rsidR="00B25467" w:rsidRPr="00074451" w:rsidRDefault="00B25467" w:rsidP="000217F3">
            <w:pPr>
              <w:jc w:val="center"/>
              <w:rPr>
                <w:b/>
              </w:rPr>
            </w:pPr>
            <w:r>
              <w:rPr>
                <w:b/>
              </w:rPr>
              <w:t>1304.667</w:t>
            </w:r>
            <w:r w:rsidRPr="00074451">
              <w:rPr>
                <w:b/>
              </w:rPr>
              <w:t xml:space="preserve"> tC02e</w:t>
            </w:r>
          </w:p>
          <w:p w14:paraId="3BB2061F" w14:textId="031FB4D5" w:rsidR="00B25467" w:rsidRDefault="00B25467" w:rsidP="000217F3">
            <w:pPr>
              <w:jc w:val="center"/>
            </w:pPr>
          </w:p>
        </w:tc>
      </w:tr>
      <w:tr w:rsidR="00762070" w14:paraId="5CBEB1F6" w14:textId="77777777" w:rsidTr="009371A8">
        <w:tc>
          <w:tcPr>
            <w:tcW w:w="3527" w:type="dxa"/>
            <w:gridSpan w:val="2"/>
          </w:tcPr>
          <w:p w14:paraId="52467B6D" w14:textId="77777777" w:rsidR="00762070" w:rsidRDefault="00762070" w:rsidP="000217F3">
            <w:r>
              <w:t>Intensity ratio Tonnes CO2e per pupil</w:t>
            </w:r>
          </w:p>
        </w:tc>
        <w:tc>
          <w:tcPr>
            <w:tcW w:w="3131" w:type="dxa"/>
          </w:tcPr>
          <w:p w14:paraId="63BAC501" w14:textId="77777777" w:rsidR="00762070" w:rsidRPr="00762070" w:rsidRDefault="00762070" w:rsidP="000217F3">
            <w:pPr>
              <w:jc w:val="center"/>
              <w:rPr>
                <w:b/>
                <w:bCs/>
              </w:rPr>
            </w:pPr>
            <w:r w:rsidRPr="00762070">
              <w:rPr>
                <w:b/>
                <w:bCs/>
              </w:rPr>
              <w:t>0.191 tC02e</w:t>
            </w:r>
          </w:p>
          <w:p w14:paraId="6CE40C2C" w14:textId="72BFB874" w:rsidR="00762070" w:rsidRPr="00762070" w:rsidRDefault="00762070" w:rsidP="000217F3">
            <w:pPr>
              <w:jc w:val="center"/>
              <w:rPr>
                <w:b/>
                <w:bCs/>
              </w:rPr>
            </w:pPr>
            <w:r w:rsidRPr="00762070">
              <w:rPr>
                <w:b/>
                <w:bCs/>
              </w:rPr>
              <w:t>Per Pupil</w:t>
            </w:r>
          </w:p>
        </w:tc>
        <w:tc>
          <w:tcPr>
            <w:tcW w:w="3118" w:type="dxa"/>
          </w:tcPr>
          <w:p w14:paraId="2F0747C1" w14:textId="77777777" w:rsidR="00762070" w:rsidRPr="00762070" w:rsidRDefault="00762070" w:rsidP="000217F3">
            <w:pPr>
              <w:jc w:val="center"/>
              <w:rPr>
                <w:b/>
                <w:bCs/>
              </w:rPr>
            </w:pPr>
            <w:r w:rsidRPr="00762070">
              <w:rPr>
                <w:b/>
                <w:bCs/>
              </w:rPr>
              <w:t>0.217 tCO2e</w:t>
            </w:r>
          </w:p>
          <w:p w14:paraId="2FB20D8D" w14:textId="29E8C660" w:rsidR="00762070" w:rsidRDefault="00762070" w:rsidP="000217F3">
            <w:pPr>
              <w:jc w:val="center"/>
            </w:pPr>
            <w:r w:rsidRPr="00762070">
              <w:rPr>
                <w:b/>
                <w:bCs/>
              </w:rPr>
              <w:t>Per Pupil</w:t>
            </w:r>
          </w:p>
        </w:tc>
      </w:tr>
      <w:tr w:rsidR="003055EC" w14:paraId="0C9AB05B" w14:textId="77777777" w:rsidTr="00AB5C37">
        <w:tc>
          <w:tcPr>
            <w:tcW w:w="1802" w:type="dxa"/>
          </w:tcPr>
          <w:p w14:paraId="1ABE1F1C" w14:textId="77777777" w:rsidR="003055EC" w:rsidRDefault="003055EC" w:rsidP="000217F3"/>
        </w:tc>
        <w:tc>
          <w:tcPr>
            <w:tcW w:w="1725" w:type="dxa"/>
          </w:tcPr>
          <w:p w14:paraId="4DFC216F" w14:textId="77777777" w:rsidR="003055EC" w:rsidRPr="00AF7E0D" w:rsidRDefault="003055EC" w:rsidP="000217F3">
            <w:pPr>
              <w:rPr>
                <w:u w:val="single"/>
              </w:rPr>
            </w:pPr>
          </w:p>
        </w:tc>
        <w:tc>
          <w:tcPr>
            <w:tcW w:w="6249" w:type="dxa"/>
            <w:gridSpan w:val="2"/>
          </w:tcPr>
          <w:p w14:paraId="0ABC2880" w14:textId="2634ADCC" w:rsidR="003055EC" w:rsidRDefault="003055EC" w:rsidP="000217F3">
            <w:pPr>
              <w:rPr>
                <w:u w:val="single"/>
              </w:rPr>
            </w:pPr>
            <w:r w:rsidRPr="00AF7E0D">
              <w:rPr>
                <w:u w:val="single"/>
              </w:rPr>
              <w:t xml:space="preserve">Quantification and Reporting Methodology:- </w:t>
            </w:r>
          </w:p>
          <w:p w14:paraId="6F6A7A3C" w14:textId="4178F373" w:rsidR="003055EC" w:rsidRPr="00374A78" w:rsidRDefault="003055EC" w:rsidP="00374A78">
            <w:pPr>
              <w:rPr>
                <w:u w:val="single"/>
              </w:rPr>
            </w:pPr>
            <w:r w:rsidRPr="008916DE">
              <w:t>We have followed the 20</w:t>
            </w:r>
            <w:r w:rsidR="00820131">
              <w:t>25</w:t>
            </w:r>
            <w:r w:rsidRPr="008916DE">
              <w:t xml:space="preserve"> HM Government Environmental Reporting Guidelines. We have also used the GHG Reporting Protocol – Corporate Standard and have used the 202</w:t>
            </w:r>
            <w:r w:rsidR="00820131">
              <w:t>5</w:t>
            </w:r>
            <w:r w:rsidRPr="008916DE">
              <w:t xml:space="preserve"> UK Government’s Conversion Factors for Company Reporting. </w:t>
            </w:r>
          </w:p>
          <w:p w14:paraId="1037CF1D" w14:textId="77777777" w:rsidR="003055EC" w:rsidRPr="008916DE" w:rsidRDefault="003055EC" w:rsidP="0041757A">
            <w:pPr>
              <w:pStyle w:val="ListParagraph"/>
              <w:rPr>
                <w:u w:val="single"/>
              </w:rPr>
            </w:pPr>
          </w:p>
          <w:p w14:paraId="62E0316D" w14:textId="77777777" w:rsidR="003055EC" w:rsidRDefault="003055EC" w:rsidP="000217F3">
            <w:r w:rsidRPr="00AF7E0D">
              <w:rPr>
                <w:u w:val="single"/>
              </w:rPr>
              <w:t>Intensity measurement</w:t>
            </w:r>
            <w:r>
              <w:t xml:space="preserve"> </w:t>
            </w:r>
          </w:p>
          <w:p w14:paraId="4DD51683" w14:textId="77777777" w:rsidR="003055EC" w:rsidRDefault="003055EC" w:rsidP="000217F3">
            <w:r w:rsidRPr="008916DE">
              <w:t xml:space="preserve">The chosen intensity measurement ratio is total gross emissions in metric tonnes CO2e per pupil, the recommended ratio for the sector. </w:t>
            </w:r>
          </w:p>
          <w:p w14:paraId="586BEA9B" w14:textId="77777777" w:rsidR="003055EC" w:rsidRPr="008916DE" w:rsidRDefault="003055EC" w:rsidP="000217F3"/>
          <w:p w14:paraId="58A140ED" w14:textId="1A22BCC7" w:rsidR="003055EC" w:rsidRDefault="003055EC" w:rsidP="000217F3">
            <w:pPr>
              <w:rPr>
                <w:u w:val="single"/>
              </w:rPr>
            </w:pPr>
            <w:r>
              <w:rPr>
                <w:u w:val="single"/>
              </w:rPr>
              <w:t>Evaluation</w:t>
            </w:r>
          </w:p>
          <w:p w14:paraId="3B0CBA77" w14:textId="5842BCA8" w:rsidR="003055EC" w:rsidRDefault="003055EC" w:rsidP="000217F3">
            <w:r>
              <w:t>It is difficult to compare direct results from 202</w:t>
            </w:r>
            <w:r w:rsidR="003C15B4">
              <w:t>3</w:t>
            </w:r>
            <w:r>
              <w:t>/2</w:t>
            </w:r>
            <w:r w:rsidR="003C15B4">
              <w:t>4</w:t>
            </w:r>
            <w:r>
              <w:t xml:space="preserve"> to 202</w:t>
            </w:r>
            <w:r w:rsidR="003C15B4">
              <w:t>4</w:t>
            </w:r>
            <w:r>
              <w:t>/2</w:t>
            </w:r>
            <w:r w:rsidR="003C15B4">
              <w:t>5</w:t>
            </w:r>
            <w:r>
              <w:t xml:space="preserve"> due to the incorporation of new schools and therefore the growth of the trust however we have continued to reduce our </w:t>
            </w:r>
            <w:r w:rsidR="003C15B4">
              <w:t>energy usage per pupil</w:t>
            </w:r>
            <w:r>
              <w:t xml:space="preserve"> across the trust. </w:t>
            </w:r>
          </w:p>
          <w:p w14:paraId="7ED07307" w14:textId="77777777" w:rsidR="003055EC" w:rsidRPr="008916DE" w:rsidRDefault="003055EC" w:rsidP="000217F3"/>
          <w:p w14:paraId="02CD795C" w14:textId="59F6D561" w:rsidR="003055EC" w:rsidRDefault="003055EC" w:rsidP="000217F3">
            <w:r w:rsidRPr="00AF7E0D">
              <w:rPr>
                <w:u w:val="single"/>
              </w:rPr>
              <w:t>Measures taken to improve energy efficiency</w:t>
            </w:r>
            <w:r>
              <w:t xml:space="preserve"> </w:t>
            </w:r>
          </w:p>
          <w:p w14:paraId="6D64D1F0" w14:textId="3B9FC3E9" w:rsidR="003055EC" w:rsidRDefault="003055EC" w:rsidP="000217F3">
            <w:r w:rsidRPr="0041757A">
              <w:t xml:space="preserve">This is the </w:t>
            </w:r>
            <w:r w:rsidR="003C15B4">
              <w:t>fourth</w:t>
            </w:r>
            <w:r w:rsidRPr="0041757A">
              <w:t xml:space="preserve"> year of energy reporting as a trust. We have continued to invest significantly in the installation of LED lighting across a number of schools. We’ve also increased the knowledge and understanding of our boiler management across all schools to ensure all site managers have the ability to control their boilers to meet the needs of the schools themselves.</w:t>
            </w:r>
          </w:p>
          <w:p w14:paraId="2046877E" w14:textId="77777777" w:rsidR="00374A78" w:rsidRPr="0041757A" w:rsidRDefault="00374A78" w:rsidP="000217F3"/>
          <w:p w14:paraId="3A5ADCCB" w14:textId="26FE7DAA" w:rsidR="003055EC" w:rsidRPr="0041757A" w:rsidRDefault="003055EC" w:rsidP="000217F3">
            <w:r w:rsidRPr="0041757A">
              <w:lastRenderedPageBreak/>
              <w:t>Further investment is already planned to improve the windows across the trust, many are in poor condition and are insufficient to help reduce C02 emissions. Improvements in external doors are also high on the agenda to be replaced as these again, are insufficient to reduce our emissions. Only when our schools are more thermally efficient can we begin to replace our current gas fired boilers with more eco-friendly solutions.</w:t>
            </w:r>
          </w:p>
          <w:p w14:paraId="1FB562C4" w14:textId="1FDA51D3" w:rsidR="003055EC" w:rsidRPr="00F14EB1" w:rsidRDefault="003055EC" w:rsidP="000217F3">
            <w:r w:rsidRPr="00D6238A">
              <w:t xml:space="preserve">Our plans to install further solar panels on </w:t>
            </w:r>
            <w:r w:rsidR="00374A78">
              <w:t>a number of our schools</w:t>
            </w:r>
            <w:r w:rsidRPr="00D6238A">
              <w:t xml:space="preserve"> is also underway </w:t>
            </w:r>
            <w:r w:rsidR="00374A78">
              <w:t>and this should begin in April/May 2026.</w:t>
            </w:r>
          </w:p>
        </w:tc>
      </w:tr>
    </w:tbl>
    <w:p w14:paraId="256C518D" w14:textId="77777777" w:rsidR="005B3427" w:rsidRDefault="005B3427"/>
    <w:sectPr w:rsidR="005B34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E0E1C" w14:textId="77777777" w:rsidR="005135D3" w:rsidRDefault="005135D3" w:rsidP="0041757A">
      <w:pPr>
        <w:spacing w:after="0" w:line="240" w:lineRule="auto"/>
      </w:pPr>
      <w:r>
        <w:separator/>
      </w:r>
    </w:p>
  </w:endnote>
  <w:endnote w:type="continuationSeparator" w:id="0">
    <w:p w14:paraId="3367E126" w14:textId="77777777" w:rsidR="005135D3" w:rsidRDefault="005135D3" w:rsidP="00417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A8AC0" w14:textId="77777777" w:rsidR="005135D3" w:rsidRDefault="005135D3" w:rsidP="0041757A">
      <w:pPr>
        <w:spacing w:after="0" w:line="240" w:lineRule="auto"/>
      </w:pPr>
      <w:r>
        <w:separator/>
      </w:r>
    </w:p>
  </w:footnote>
  <w:footnote w:type="continuationSeparator" w:id="0">
    <w:p w14:paraId="422D96B7" w14:textId="77777777" w:rsidR="005135D3" w:rsidRDefault="005135D3" w:rsidP="004175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372980"/>
    <w:multiLevelType w:val="hybridMultilevel"/>
    <w:tmpl w:val="A3880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9657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427"/>
    <w:rsid w:val="000217F3"/>
    <w:rsid w:val="00043FB3"/>
    <w:rsid w:val="00057B51"/>
    <w:rsid w:val="00074451"/>
    <w:rsid w:val="001518BB"/>
    <w:rsid w:val="00162838"/>
    <w:rsid w:val="002049C3"/>
    <w:rsid w:val="002072A9"/>
    <w:rsid w:val="00297D87"/>
    <w:rsid w:val="002F3143"/>
    <w:rsid w:val="003047A1"/>
    <w:rsid w:val="003055EC"/>
    <w:rsid w:val="003073A5"/>
    <w:rsid w:val="00374A78"/>
    <w:rsid w:val="003B22CA"/>
    <w:rsid w:val="003C15B4"/>
    <w:rsid w:val="003C5C7D"/>
    <w:rsid w:val="0041757A"/>
    <w:rsid w:val="00452C0A"/>
    <w:rsid w:val="004C225B"/>
    <w:rsid w:val="005135D3"/>
    <w:rsid w:val="005B3427"/>
    <w:rsid w:val="00603B2A"/>
    <w:rsid w:val="006438A2"/>
    <w:rsid w:val="00686420"/>
    <w:rsid w:val="006A11BD"/>
    <w:rsid w:val="00762070"/>
    <w:rsid w:val="00820131"/>
    <w:rsid w:val="00871AFB"/>
    <w:rsid w:val="008916DE"/>
    <w:rsid w:val="00897908"/>
    <w:rsid w:val="009207E0"/>
    <w:rsid w:val="009368ED"/>
    <w:rsid w:val="009371A8"/>
    <w:rsid w:val="009A279C"/>
    <w:rsid w:val="009D2685"/>
    <w:rsid w:val="00AB00F9"/>
    <w:rsid w:val="00AB5C37"/>
    <w:rsid w:val="00AF7E0D"/>
    <w:rsid w:val="00B23343"/>
    <w:rsid w:val="00B25467"/>
    <w:rsid w:val="00B7370C"/>
    <w:rsid w:val="00BA3406"/>
    <w:rsid w:val="00C435A5"/>
    <w:rsid w:val="00CD1028"/>
    <w:rsid w:val="00CE0CE5"/>
    <w:rsid w:val="00D3012B"/>
    <w:rsid w:val="00D6238A"/>
    <w:rsid w:val="00DC7B06"/>
    <w:rsid w:val="00F01B20"/>
    <w:rsid w:val="00F14EB1"/>
    <w:rsid w:val="00F159C9"/>
    <w:rsid w:val="00F36623"/>
    <w:rsid w:val="00F90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24F15"/>
  <w15:chartTrackingRefBased/>
  <w15:docId w15:val="{2906A390-9BC3-4A7A-9A70-6F2C26651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3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7E0D"/>
    <w:pPr>
      <w:ind w:left="720"/>
      <w:contextualSpacing/>
    </w:pPr>
  </w:style>
  <w:style w:type="paragraph" w:styleId="Header">
    <w:name w:val="header"/>
    <w:basedOn w:val="Normal"/>
    <w:link w:val="HeaderChar"/>
    <w:uiPriority w:val="99"/>
    <w:unhideWhenUsed/>
    <w:rsid w:val="004175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757A"/>
  </w:style>
  <w:style w:type="paragraph" w:styleId="Footer">
    <w:name w:val="footer"/>
    <w:basedOn w:val="Normal"/>
    <w:link w:val="FooterChar"/>
    <w:uiPriority w:val="99"/>
    <w:unhideWhenUsed/>
    <w:rsid w:val="004175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7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C96CE445BB4240A6ED148A83BC1BF9" ma:contentTypeVersion="15" ma:contentTypeDescription="Create a new document." ma:contentTypeScope="" ma:versionID="5c7ccfd6d062ee5ef7a9fe50ac81afef">
  <xsd:schema xmlns:xsd="http://www.w3.org/2001/XMLSchema" xmlns:xs="http://www.w3.org/2001/XMLSchema" xmlns:p="http://schemas.microsoft.com/office/2006/metadata/properties" xmlns:ns2="77c35c34-94d9-4c1d-bc9b-994e8bec9696" xmlns:ns3="47e6c284-d252-4c8d-9cc0-4b32fc0289ea" targetNamespace="http://schemas.microsoft.com/office/2006/metadata/properties" ma:root="true" ma:fieldsID="dec5d364366cda9f680e09a609dbfb96" ns2:_="" ns3:_="">
    <xsd:import namespace="77c35c34-94d9-4c1d-bc9b-994e8bec9696"/>
    <xsd:import namespace="47e6c284-d252-4c8d-9cc0-4b32fc0289e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c35c34-94d9-4c1d-bc9b-994e8bec96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656d646-9aca-460c-ae57-fcf36a0df44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e6c284-d252-4c8d-9cc0-4b32fc0289e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6187a71-c610-48b9-96d2-525f0b85d5fc}" ma:internalName="TaxCatchAll" ma:showField="CatchAllData" ma:web="47e6c284-d252-4c8d-9cc0-4b32fc0289e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c35c34-94d9-4c1d-bc9b-994e8bec9696">
      <Terms xmlns="http://schemas.microsoft.com/office/infopath/2007/PartnerControls"/>
    </lcf76f155ced4ddcb4097134ff3c332f>
    <TaxCatchAll xmlns="47e6c284-d252-4c8d-9cc0-4b32fc0289e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1D9675-6718-4792-AC2B-49C7539A5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c35c34-94d9-4c1d-bc9b-994e8bec9696"/>
    <ds:schemaRef ds:uri="47e6c284-d252-4c8d-9cc0-4b32fc0289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FAFCDA-3371-4C5C-9A50-086B6329A825}">
  <ds:schemaRefs>
    <ds:schemaRef ds:uri="http://schemas.microsoft.com/office/2006/metadata/properties"/>
    <ds:schemaRef ds:uri="http://schemas.microsoft.com/office/infopath/2007/PartnerControls"/>
    <ds:schemaRef ds:uri="77c35c34-94d9-4c1d-bc9b-994e8bec9696"/>
    <ds:schemaRef ds:uri="47e6c284-d252-4c8d-9cc0-4b32fc0289ea"/>
  </ds:schemaRefs>
</ds:datastoreItem>
</file>

<file path=customXml/itemProps3.xml><?xml version="1.0" encoding="utf-8"?>
<ds:datastoreItem xmlns:ds="http://schemas.openxmlformats.org/officeDocument/2006/customXml" ds:itemID="{B26C03FE-D514-42AF-B5C7-DD6B9E0327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R J Mansfield</dc:creator>
  <cp:keywords/>
  <dc:description/>
  <cp:lastModifiedBy>Richard Mansfield</cp:lastModifiedBy>
  <cp:revision>18</cp:revision>
  <dcterms:created xsi:type="dcterms:W3CDTF">2025-11-18T13:27:00Z</dcterms:created>
  <dcterms:modified xsi:type="dcterms:W3CDTF">2025-11-20T18:38:00Z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0x010100FEC96CE445BB4240A6ED148A83BC1BF9</vt:lpwstr>
  </property>
  <property fmtid="{D5CDD505-2E9C-101B-9397-08002B2CF9AE}" pid="3" name="MediaServiceImageTags">
    <vt:lpwstr/>
  </property>
</Properties>
</file>